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1577" w:rsidRDefault="00601577" w:rsidP="00601577">
      <w:pPr>
        <w:pStyle w:val="Title"/>
        <w:jc w:val="left"/>
        <w:rPr>
          <w:lang w:val="en-US"/>
        </w:rPr>
      </w:pPr>
      <w:r>
        <w:rPr>
          <w:lang w:val="en-US"/>
        </w:rPr>
        <w:t>Supplementary Material</w:t>
      </w:r>
    </w:p>
    <w:p w:rsidR="00601577" w:rsidRDefault="00601577" w:rsidP="00601577">
      <w:pPr>
        <w:pStyle w:val="Title"/>
        <w:jc w:val="left"/>
        <w:rPr>
          <w:lang w:val="en-US"/>
        </w:rPr>
      </w:pPr>
    </w:p>
    <w:p w:rsidR="00601577" w:rsidRPr="00A32AB6" w:rsidRDefault="00601577" w:rsidP="00601577">
      <w:pPr>
        <w:pStyle w:val="Title"/>
        <w:jc w:val="left"/>
        <w:rPr>
          <w:lang w:val="en-US"/>
        </w:rPr>
      </w:pPr>
      <w:r w:rsidRPr="00EF0FC9">
        <w:rPr>
          <w:sz w:val="44"/>
          <w:lang w:val="en-US"/>
        </w:rPr>
        <w:t>Analysis tools for single-monomer measurements of self-assembly processes</w:t>
      </w:r>
    </w:p>
    <w:p w:rsidR="00601577" w:rsidRDefault="00601577" w:rsidP="00601577">
      <w:pPr>
        <w:rPr>
          <w:lang w:val="en-US"/>
        </w:rPr>
      </w:pPr>
    </w:p>
    <w:p w:rsidR="00601577" w:rsidRPr="00182523" w:rsidRDefault="00601577" w:rsidP="00601577">
      <w:pPr>
        <w:pStyle w:val="Paragraph"/>
        <w:spacing w:before="240"/>
        <w:ind w:firstLine="0"/>
        <w:rPr>
          <w:rFonts w:ascii="Calibri" w:hAnsi="Calibri"/>
        </w:rPr>
      </w:pPr>
      <w:r w:rsidRPr="00363DF5">
        <w:rPr>
          <w:rFonts w:ascii="Calibri" w:hAnsi="Calibri"/>
        </w:rPr>
        <w:t xml:space="preserve">Maria </w:t>
      </w:r>
      <w:r w:rsidRPr="00CE4FFB">
        <w:rPr>
          <w:rFonts w:ascii="Calibri" w:hAnsi="Calibri"/>
        </w:rPr>
        <w:t>Hoyer</w:t>
      </w:r>
      <w:r w:rsidRPr="00CE4FFB">
        <w:rPr>
          <w:rFonts w:ascii="Calibri" w:hAnsi="Calibri"/>
          <w:vertAlign w:val="superscript"/>
        </w:rPr>
        <w:t>1</w:t>
      </w:r>
      <w:r>
        <w:rPr>
          <w:rFonts w:ascii="Calibri" w:hAnsi="Calibri"/>
        </w:rPr>
        <w:t xml:space="preserve">, </w:t>
      </w:r>
      <w:r w:rsidRPr="00CE4FFB">
        <w:rPr>
          <w:rFonts w:ascii="Calibri" w:hAnsi="Calibri"/>
        </w:rPr>
        <w:t>Alvaro</w:t>
      </w:r>
      <w:r w:rsidRPr="00D86452">
        <w:rPr>
          <w:rFonts w:ascii="Calibri" w:hAnsi="Calibri"/>
        </w:rPr>
        <w:t xml:space="preserve"> H. Crevenna</w:t>
      </w:r>
      <w:r w:rsidRPr="00D86452">
        <w:rPr>
          <w:rFonts w:ascii="Calibri" w:hAnsi="Calibri"/>
          <w:vertAlign w:val="superscript"/>
        </w:rPr>
        <w:t>1,2</w:t>
      </w:r>
      <w:r>
        <w:rPr>
          <w:rFonts w:ascii="Calibri" w:hAnsi="Calibri"/>
        </w:rPr>
        <w:t xml:space="preserve">, </w:t>
      </w:r>
      <w:proofErr w:type="spellStart"/>
      <w:r>
        <w:rPr>
          <w:rFonts w:ascii="Calibri" w:hAnsi="Calibri"/>
        </w:rPr>
        <w:t>Radoslaw</w:t>
      </w:r>
      <w:proofErr w:type="spellEnd"/>
      <w:r>
        <w:rPr>
          <w:rFonts w:ascii="Calibri" w:hAnsi="Calibri"/>
        </w:rPr>
        <w:t xml:space="preserve"> Kitel</w:t>
      </w:r>
      <w:r w:rsidRPr="00C44D5E">
        <w:rPr>
          <w:rFonts w:ascii="Calibri" w:hAnsi="Calibri"/>
          <w:vertAlign w:val="superscript"/>
        </w:rPr>
        <w:t>3</w:t>
      </w:r>
      <w:r w:rsidRPr="008D0701">
        <w:rPr>
          <w:rFonts w:ascii="Calibri" w:hAnsi="Calibri"/>
          <w:vertAlign w:val="superscript"/>
        </w:rPr>
        <w:t>,</w:t>
      </w:r>
      <w:r>
        <w:rPr>
          <w:rFonts w:ascii="Calibri" w:hAnsi="Calibri"/>
          <w:vertAlign w:val="superscript"/>
        </w:rPr>
        <w:t>4</w:t>
      </w:r>
      <w:r>
        <w:rPr>
          <w:rFonts w:ascii="Calibri" w:hAnsi="Calibri"/>
        </w:rPr>
        <w:t xml:space="preserve">, </w:t>
      </w:r>
      <w:proofErr w:type="spellStart"/>
      <w:r>
        <w:rPr>
          <w:rFonts w:ascii="Calibri" w:hAnsi="Calibri"/>
        </w:rPr>
        <w:t>Kherim</w:t>
      </w:r>
      <w:proofErr w:type="spellEnd"/>
      <w:r>
        <w:rPr>
          <w:rFonts w:ascii="Calibri" w:hAnsi="Calibri"/>
        </w:rPr>
        <w:t xml:space="preserve"> Willems</w:t>
      </w:r>
      <w:r>
        <w:rPr>
          <w:rFonts w:ascii="Calibri" w:hAnsi="Calibri"/>
          <w:vertAlign w:val="superscript"/>
        </w:rPr>
        <w:t>5</w:t>
      </w:r>
      <w:r>
        <w:rPr>
          <w:rFonts w:ascii="Calibri" w:hAnsi="Calibri"/>
        </w:rPr>
        <w:t xml:space="preserve">, </w:t>
      </w:r>
      <w:proofErr w:type="spellStart"/>
      <w:r>
        <w:rPr>
          <w:rFonts w:ascii="Calibri" w:hAnsi="Calibri"/>
        </w:rPr>
        <w:t>Miroslawa</w:t>
      </w:r>
      <w:proofErr w:type="spellEnd"/>
      <w:r>
        <w:rPr>
          <w:rFonts w:ascii="Calibri" w:hAnsi="Calibri"/>
        </w:rPr>
        <w:t xml:space="preserve"> Czub</w:t>
      </w:r>
      <w:r>
        <w:rPr>
          <w:rFonts w:ascii="Calibri" w:hAnsi="Calibri"/>
          <w:vertAlign w:val="superscript"/>
        </w:rPr>
        <w:t>3</w:t>
      </w:r>
      <w:r>
        <w:rPr>
          <w:rFonts w:ascii="Calibri" w:hAnsi="Calibri"/>
        </w:rPr>
        <w:t xml:space="preserve">, </w:t>
      </w:r>
      <w:proofErr w:type="spellStart"/>
      <w:r w:rsidRPr="00C44D5E">
        <w:rPr>
          <w:rFonts w:ascii="Calibri" w:hAnsi="Calibri"/>
        </w:rPr>
        <w:t>Grzegorz</w:t>
      </w:r>
      <w:proofErr w:type="spellEnd"/>
      <w:r w:rsidRPr="00C44D5E">
        <w:rPr>
          <w:rFonts w:ascii="Calibri" w:hAnsi="Calibri"/>
        </w:rPr>
        <w:t xml:space="preserve"> Dubin</w:t>
      </w:r>
      <w:r>
        <w:rPr>
          <w:rFonts w:ascii="Calibri" w:hAnsi="Calibri"/>
          <w:vertAlign w:val="superscript"/>
        </w:rPr>
        <w:t>4</w:t>
      </w:r>
      <w:r w:rsidRPr="00C44D5E">
        <w:rPr>
          <w:rFonts w:ascii="Calibri" w:hAnsi="Calibri"/>
        </w:rPr>
        <w:t xml:space="preserve">, </w:t>
      </w:r>
      <w:r w:rsidRPr="00895D04">
        <w:rPr>
          <w:rFonts w:ascii="Calibri" w:hAnsi="Calibri"/>
        </w:rPr>
        <w:t>Pol Van Dorpe</w:t>
      </w:r>
      <w:r w:rsidRPr="00895D04">
        <w:rPr>
          <w:rFonts w:ascii="Calibri" w:hAnsi="Calibri"/>
          <w:vertAlign w:val="superscript"/>
        </w:rPr>
        <w:t>5</w:t>
      </w:r>
      <w:r w:rsidRPr="00C44D5E">
        <w:rPr>
          <w:rFonts w:ascii="Calibri" w:hAnsi="Calibri"/>
        </w:rPr>
        <w:t xml:space="preserve">, </w:t>
      </w:r>
      <w:r>
        <w:rPr>
          <w:rFonts w:ascii="Calibri" w:hAnsi="Calibri"/>
        </w:rPr>
        <w:t xml:space="preserve">Tad </w:t>
      </w:r>
      <w:r w:rsidRPr="00701BD0">
        <w:rPr>
          <w:rFonts w:ascii="Calibri" w:hAnsi="Calibri"/>
        </w:rPr>
        <w:t xml:space="preserve">A. </w:t>
      </w:r>
      <w:r>
        <w:rPr>
          <w:rFonts w:ascii="Calibri" w:hAnsi="Calibri"/>
        </w:rPr>
        <w:t>Holak</w:t>
      </w:r>
      <w:r>
        <w:rPr>
          <w:rFonts w:ascii="Calibri" w:hAnsi="Calibri"/>
          <w:vertAlign w:val="superscript"/>
        </w:rPr>
        <w:t>3</w:t>
      </w:r>
      <w:r>
        <w:rPr>
          <w:rFonts w:ascii="Calibri" w:hAnsi="Calibri"/>
        </w:rPr>
        <w:t xml:space="preserve"> and</w:t>
      </w:r>
      <w:r w:rsidRPr="00182523">
        <w:rPr>
          <w:rFonts w:ascii="Calibri" w:hAnsi="Calibri"/>
        </w:rPr>
        <w:t xml:space="preserve"> </w:t>
      </w:r>
      <w:r w:rsidRPr="00D86452">
        <w:rPr>
          <w:rFonts w:ascii="Calibri" w:hAnsi="Calibri"/>
        </w:rPr>
        <w:t>Don C. Lamb</w:t>
      </w:r>
      <w:r w:rsidRPr="00DF475C">
        <w:rPr>
          <w:rFonts w:ascii="Calibri" w:hAnsi="Calibri"/>
          <w:vertAlign w:val="superscript"/>
        </w:rPr>
        <w:t>1</w:t>
      </w:r>
      <w:r w:rsidRPr="00D86452">
        <w:rPr>
          <w:rFonts w:ascii="Calibri" w:hAnsi="Calibri"/>
        </w:rPr>
        <w:t xml:space="preserve">* </w:t>
      </w:r>
    </w:p>
    <w:p w:rsidR="00601577" w:rsidRPr="004C3637" w:rsidRDefault="00601577" w:rsidP="00601577">
      <w:pPr>
        <w:spacing w:before="240"/>
        <w:rPr>
          <w:rStyle w:val="author-detailstext"/>
          <w:lang w:val="en-US"/>
        </w:rPr>
      </w:pPr>
      <w:r w:rsidRPr="001D21E6">
        <w:rPr>
          <w:vertAlign w:val="superscript"/>
          <w:lang w:val="en-US"/>
        </w:rPr>
        <w:t>1</w:t>
      </w:r>
      <w:r w:rsidRPr="004C3637">
        <w:rPr>
          <w:lang w:val="en-US"/>
        </w:rPr>
        <w:t xml:space="preserve"> Department of Chemistry, Center for </w:t>
      </w:r>
      <w:proofErr w:type="spellStart"/>
      <w:r w:rsidRPr="004C3637">
        <w:rPr>
          <w:lang w:val="en-US"/>
        </w:rPr>
        <w:t>NanoScience</w:t>
      </w:r>
      <w:proofErr w:type="spellEnd"/>
      <w:r w:rsidRPr="004C3637">
        <w:rPr>
          <w:lang w:val="en-US"/>
        </w:rPr>
        <w:t xml:space="preserve">, </w:t>
      </w:r>
      <w:proofErr w:type="spellStart"/>
      <w:r w:rsidRPr="004C3637">
        <w:rPr>
          <w:lang w:val="en-US"/>
        </w:rPr>
        <w:t>Nanosystems</w:t>
      </w:r>
      <w:proofErr w:type="spellEnd"/>
      <w:r w:rsidRPr="004C3637">
        <w:rPr>
          <w:rStyle w:val="author-detailstext"/>
          <w:lang w:val="en-US"/>
        </w:rPr>
        <w:t xml:space="preserve"> Initiative Munich (NIM) and Center for Integrated Protein Science Munich (</w:t>
      </w:r>
      <w:proofErr w:type="spellStart"/>
      <w:r w:rsidRPr="004C3637">
        <w:rPr>
          <w:rStyle w:val="author-detailstext"/>
          <w:lang w:val="en-US"/>
        </w:rPr>
        <w:t>CiPSM</w:t>
      </w:r>
      <w:proofErr w:type="spellEnd"/>
      <w:r w:rsidRPr="004C3637">
        <w:rPr>
          <w:rStyle w:val="author-detailstext"/>
          <w:lang w:val="en-US"/>
        </w:rPr>
        <w:t>), Ludwig-</w:t>
      </w:r>
      <w:proofErr w:type="spellStart"/>
      <w:r w:rsidRPr="004C3637">
        <w:rPr>
          <w:rStyle w:val="author-detailstext"/>
          <w:lang w:val="en-US"/>
        </w:rPr>
        <w:t>Maximilians</w:t>
      </w:r>
      <w:proofErr w:type="spellEnd"/>
      <w:r w:rsidRPr="004C3637">
        <w:rPr>
          <w:rStyle w:val="author-detailstext"/>
          <w:lang w:val="en-US"/>
        </w:rPr>
        <w:t xml:space="preserve"> University Munich, Munich, Germany. </w:t>
      </w:r>
    </w:p>
    <w:p w:rsidR="00601577" w:rsidRPr="004C3637" w:rsidRDefault="00601577" w:rsidP="00601577">
      <w:pPr>
        <w:spacing w:before="240"/>
        <w:rPr>
          <w:lang w:val="en-US"/>
        </w:rPr>
      </w:pPr>
      <w:r w:rsidRPr="004C3637">
        <w:rPr>
          <w:rStyle w:val="author-detailstext"/>
          <w:vertAlign w:val="superscript"/>
          <w:lang w:val="en-US"/>
        </w:rPr>
        <w:t>2</w:t>
      </w:r>
      <w:r w:rsidRPr="004C3637">
        <w:rPr>
          <w:rStyle w:val="author-detailstext"/>
          <w:lang w:val="en-US"/>
        </w:rPr>
        <w:t xml:space="preserve"> </w:t>
      </w:r>
      <w:r>
        <w:rPr>
          <w:rStyle w:val="author-detailstext"/>
          <w:lang w:val="en-US"/>
        </w:rPr>
        <w:t xml:space="preserve">Epigenetics and Neurobiology Unit, EMBL Rome, </w:t>
      </w:r>
      <w:proofErr w:type="spellStart"/>
      <w:r>
        <w:rPr>
          <w:rStyle w:val="author-detailstext"/>
          <w:lang w:val="en-US"/>
        </w:rPr>
        <w:t>Monterotondo</w:t>
      </w:r>
      <w:proofErr w:type="spellEnd"/>
      <w:r>
        <w:rPr>
          <w:rStyle w:val="author-detailstext"/>
          <w:lang w:val="en-US"/>
        </w:rPr>
        <w:t>, Italy</w:t>
      </w:r>
    </w:p>
    <w:p w:rsidR="00601577" w:rsidRPr="004C3637" w:rsidRDefault="00601577" w:rsidP="00601577">
      <w:pPr>
        <w:rPr>
          <w:rStyle w:val="author-detailstext"/>
          <w:lang w:val="en-US"/>
        </w:rPr>
      </w:pPr>
      <w:r w:rsidRPr="004C3637">
        <w:rPr>
          <w:rStyle w:val="author-detailstext"/>
          <w:rFonts w:eastAsia="Times New Roman" w:cs="Times New Roman"/>
          <w:vertAlign w:val="superscript"/>
          <w:lang w:val="en-US"/>
        </w:rPr>
        <w:t>3</w:t>
      </w:r>
      <w:r w:rsidRPr="001D21E6">
        <w:rPr>
          <w:rStyle w:val="author-detailstext"/>
          <w:lang w:val="en-US"/>
        </w:rPr>
        <w:t xml:space="preserve"> </w:t>
      </w:r>
      <w:r w:rsidRPr="004C3637">
        <w:rPr>
          <w:lang w:val="en-US"/>
        </w:rPr>
        <w:t xml:space="preserve">Department of Organic Chemistry, Faculty of Chemistry, </w:t>
      </w:r>
      <w:proofErr w:type="spellStart"/>
      <w:r w:rsidRPr="004C3637">
        <w:rPr>
          <w:lang w:val="en-US"/>
        </w:rPr>
        <w:t>Jagiellonian</w:t>
      </w:r>
      <w:proofErr w:type="spellEnd"/>
      <w:r w:rsidRPr="004C3637">
        <w:rPr>
          <w:lang w:val="en-US"/>
        </w:rPr>
        <w:t xml:space="preserve"> University, </w:t>
      </w:r>
      <w:proofErr w:type="spellStart"/>
      <w:r w:rsidRPr="004C3637">
        <w:rPr>
          <w:lang w:val="en-US"/>
        </w:rPr>
        <w:t>Gronostajowa</w:t>
      </w:r>
      <w:proofErr w:type="spellEnd"/>
      <w:r w:rsidRPr="004C3637">
        <w:rPr>
          <w:lang w:val="en-US"/>
        </w:rPr>
        <w:t xml:space="preserve"> 2, 30-387 Krakow, Poland</w:t>
      </w:r>
    </w:p>
    <w:p w:rsidR="00601577" w:rsidRPr="008D0701" w:rsidRDefault="00601577" w:rsidP="00601577">
      <w:pPr>
        <w:rPr>
          <w:rStyle w:val="author-detailstext"/>
          <w:lang w:val="en-GB"/>
        </w:rPr>
      </w:pPr>
      <w:proofErr w:type="gramStart"/>
      <w:r w:rsidRPr="004C3637">
        <w:rPr>
          <w:rStyle w:val="author-detailstext"/>
          <w:rFonts w:eastAsia="Times New Roman" w:cs="Times New Roman"/>
          <w:vertAlign w:val="superscript"/>
          <w:lang w:val="en-US"/>
        </w:rPr>
        <w:t>4</w:t>
      </w:r>
      <w:r w:rsidRPr="004C3637">
        <w:rPr>
          <w:rStyle w:val="author-detailstext"/>
          <w:vertAlign w:val="superscript"/>
          <w:lang w:val="en-US"/>
        </w:rPr>
        <w:t xml:space="preserve"> </w:t>
      </w:r>
      <w:r w:rsidRPr="004C3637">
        <w:rPr>
          <w:rStyle w:val="author-detailstext"/>
          <w:lang w:val="en-US"/>
        </w:rPr>
        <w:t xml:space="preserve"> </w:t>
      </w:r>
      <w:proofErr w:type="spellStart"/>
      <w:r w:rsidRPr="008D0701">
        <w:rPr>
          <w:lang w:val="en-GB"/>
        </w:rPr>
        <w:t>Malopolska</w:t>
      </w:r>
      <w:proofErr w:type="spellEnd"/>
      <w:proofErr w:type="gramEnd"/>
      <w:r w:rsidRPr="008D0701">
        <w:rPr>
          <w:lang w:val="en-GB"/>
        </w:rPr>
        <w:t xml:space="preserve"> Centre of Biotechnology, </w:t>
      </w:r>
      <w:proofErr w:type="spellStart"/>
      <w:r w:rsidRPr="008D0701">
        <w:rPr>
          <w:lang w:val="en-GB"/>
        </w:rPr>
        <w:t>Jagiellonian</w:t>
      </w:r>
      <w:proofErr w:type="spellEnd"/>
      <w:r w:rsidRPr="008D0701">
        <w:rPr>
          <w:lang w:val="en-GB"/>
        </w:rPr>
        <w:t xml:space="preserve"> University, </w:t>
      </w:r>
      <w:proofErr w:type="spellStart"/>
      <w:r w:rsidRPr="00E714FD">
        <w:rPr>
          <w:rFonts w:eastAsia="Times New Roman" w:cs="Times New Roman"/>
          <w:lang w:val="en-GB" w:eastAsia="en-GB"/>
        </w:rPr>
        <w:t>Gronostajowa</w:t>
      </w:r>
      <w:proofErr w:type="spellEnd"/>
      <w:r w:rsidRPr="00E714FD">
        <w:rPr>
          <w:rFonts w:eastAsia="Times New Roman" w:cs="Times New Roman"/>
          <w:lang w:val="en-GB" w:eastAsia="en-GB"/>
        </w:rPr>
        <w:t xml:space="preserve"> 7a, 30-387 </w:t>
      </w:r>
      <w:r w:rsidRPr="008D0701">
        <w:rPr>
          <w:lang w:val="en-GB"/>
        </w:rPr>
        <w:t>Krakow, Poland</w:t>
      </w:r>
    </w:p>
    <w:p w:rsidR="00601577" w:rsidRPr="004C3637" w:rsidRDefault="00601577" w:rsidP="00601577">
      <w:pPr>
        <w:spacing w:before="240"/>
        <w:rPr>
          <w:lang w:val="en-US"/>
        </w:rPr>
      </w:pPr>
      <w:r w:rsidRPr="004C3637">
        <w:rPr>
          <w:rFonts w:eastAsia="Times New Roman" w:cs="Times New Roman"/>
          <w:iCs/>
          <w:vertAlign w:val="superscript"/>
          <w:lang w:val="en-US" w:eastAsia="pt-PT"/>
        </w:rPr>
        <w:t>5</w:t>
      </w:r>
      <w:r w:rsidRPr="004C3637">
        <w:rPr>
          <w:rFonts w:eastAsia="Times New Roman" w:cs="Times New Roman"/>
          <w:iCs/>
          <w:lang w:val="en-US" w:eastAsia="pt-PT"/>
        </w:rPr>
        <w:t xml:space="preserve"> </w:t>
      </w:r>
      <w:proofErr w:type="spellStart"/>
      <w:r w:rsidRPr="004C3637">
        <w:rPr>
          <w:rStyle w:val="author-detailstext"/>
          <w:rFonts w:cs="Times New Roman"/>
          <w:szCs w:val="24"/>
          <w:lang w:val="en-US"/>
        </w:rPr>
        <w:t>imec</w:t>
      </w:r>
      <w:proofErr w:type="spellEnd"/>
      <w:r w:rsidRPr="004C3637">
        <w:rPr>
          <w:rStyle w:val="author-detailstext"/>
          <w:rFonts w:cs="Times New Roman"/>
          <w:szCs w:val="24"/>
          <w:lang w:val="en-US"/>
        </w:rPr>
        <w:t xml:space="preserve">, </w:t>
      </w:r>
      <w:proofErr w:type="spellStart"/>
      <w:r w:rsidRPr="004C3637">
        <w:rPr>
          <w:rStyle w:val="author-detailstext"/>
          <w:rFonts w:cs="Times New Roman"/>
          <w:szCs w:val="24"/>
          <w:lang w:val="en-US"/>
        </w:rPr>
        <w:t>Kapeldreef</w:t>
      </w:r>
      <w:proofErr w:type="spellEnd"/>
      <w:r w:rsidRPr="004C3637">
        <w:rPr>
          <w:rStyle w:val="author-detailstext"/>
          <w:rFonts w:cs="Times New Roman"/>
          <w:szCs w:val="24"/>
          <w:lang w:val="en-US"/>
        </w:rPr>
        <w:t xml:space="preserve"> 75, B-3001 Leuven, Belgium</w:t>
      </w:r>
    </w:p>
    <w:p w:rsidR="00601577" w:rsidRPr="004C3637" w:rsidRDefault="00601577" w:rsidP="00601577">
      <w:pPr>
        <w:spacing w:before="240"/>
        <w:rPr>
          <w:szCs w:val="24"/>
          <w:lang w:val="en-US"/>
        </w:rPr>
      </w:pPr>
      <w:r w:rsidRPr="004C3637">
        <w:rPr>
          <w:rFonts w:eastAsia="Times New Roman" w:cs="Times New Roman"/>
          <w:iCs/>
          <w:szCs w:val="24"/>
          <w:lang w:val="en-US" w:eastAsia="pt-PT"/>
        </w:rPr>
        <w:t xml:space="preserve">* For correspondence: </w:t>
      </w:r>
      <w:hyperlink r:id="rId4" w:history="1">
        <w:r w:rsidRPr="00310C4B">
          <w:rPr>
            <w:rStyle w:val="Hyperlink"/>
            <w:rFonts w:eastAsia="Times New Roman" w:cs="Times New Roman"/>
            <w:iCs/>
            <w:szCs w:val="24"/>
            <w:lang w:val="en-US" w:eastAsia="pt-PT"/>
          </w:rPr>
          <w:t>d.lamb@lmu.de</w:t>
        </w:r>
      </w:hyperlink>
      <w:r>
        <w:rPr>
          <w:rFonts w:eastAsia="Times New Roman" w:cs="Times New Roman"/>
          <w:iCs/>
          <w:szCs w:val="24"/>
          <w:lang w:val="en-US" w:eastAsia="pt-PT"/>
        </w:rPr>
        <w:t xml:space="preserve"> </w:t>
      </w: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keepNext/>
        <w:rPr>
          <w:lang w:val="en-US"/>
        </w:rPr>
      </w:pPr>
    </w:p>
    <w:p w:rsidR="00827718" w:rsidRDefault="00827718" w:rsidP="00601577">
      <w:pPr>
        <w:keepNext/>
        <w:rPr>
          <w:lang w:val="en-US"/>
        </w:rPr>
      </w:pPr>
    </w:p>
    <w:p w:rsidR="00827718" w:rsidRDefault="00827718" w:rsidP="00601577">
      <w:pPr>
        <w:keepNext/>
        <w:rPr>
          <w:lang w:val="en-US"/>
        </w:rPr>
      </w:pPr>
    </w:p>
    <w:p w:rsidR="00827718" w:rsidRPr="00677A84" w:rsidRDefault="00827718" w:rsidP="00601577">
      <w:pPr>
        <w:keepNext/>
        <w:rPr>
          <w:lang w:val="en-US"/>
        </w:rPr>
      </w:pPr>
    </w:p>
    <w:p w:rsidR="00601577" w:rsidRPr="00102315" w:rsidRDefault="00601577" w:rsidP="00601577">
      <w:pPr>
        <w:keepNext/>
        <w:rPr>
          <w:lang w:val="en-US"/>
        </w:rPr>
      </w:pPr>
    </w:p>
    <w:p w:rsidR="00601577" w:rsidRPr="007C76E0" w:rsidRDefault="00601577" w:rsidP="00747B36">
      <w:pPr>
        <w:pStyle w:val="Caption"/>
      </w:pPr>
      <w:bookmarkStart w:id="0" w:name="_Ref92356084"/>
      <w:r w:rsidRPr="007C76E0">
        <w:t>Supplementary Table S</w:t>
      </w:r>
      <w:r w:rsidRPr="007C76E0">
        <w:fldChar w:fldCharType="begin"/>
      </w:r>
      <w:r w:rsidRPr="007C76E0">
        <w:instrText xml:space="preserve"> SEQ Table \* ARABIC </w:instrText>
      </w:r>
      <w:r w:rsidRPr="007C76E0">
        <w:fldChar w:fldCharType="separate"/>
      </w:r>
      <w:r w:rsidRPr="007C76E0">
        <w:rPr>
          <w:noProof/>
        </w:rPr>
        <w:t>1</w:t>
      </w:r>
      <w:r w:rsidRPr="007C76E0">
        <w:rPr>
          <w:noProof/>
        </w:rPr>
        <w:fldChar w:fldCharType="end"/>
      </w:r>
      <w:bookmarkEnd w:id="0"/>
      <w:r w:rsidRPr="007C76E0">
        <w:t xml:space="preserve">: Table of simulation parameters for the simulations of a nucleation or conversion mechanism. The default settings are indicated in blue and the simulated range of the individual parameters is given in parenthesis. When a nucleation mechanism was simulated, all kinetics until the nucleus size is reached are governed by </w:t>
      </w:r>
      <w:proofErr w:type="spellStart"/>
      <w:r w:rsidRPr="007C76E0">
        <w:t>k</w:t>
      </w:r>
      <w:r w:rsidRPr="007C76E0">
        <w:rPr>
          <w:vertAlign w:val="superscript"/>
        </w:rPr>
        <w:t>+</w:t>
      </w:r>
      <w:r w:rsidRPr="007C76E0">
        <w:rPr>
          <w:vertAlign w:val="subscript"/>
        </w:rPr>
        <w:t>nuc</w:t>
      </w:r>
      <w:proofErr w:type="spellEnd"/>
      <w:r w:rsidRPr="007C76E0">
        <w:t xml:space="preserve"> and k</w:t>
      </w:r>
      <w:r w:rsidRPr="007C76E0">
        <w:rPr>
          <w:vertAlign w:val="superscript"/>
        </w:rPr>
        <w:t>-</w:t>
      </w:r>
      <w:proofErr w:type="spellStart"/>
      <w:r w:rsidRPr="007C76E0">
        <w:rPr>
          <w:vertAlign w:val="subscript"/>
        </w:rPr>
        <w:t>nuc</w:t>
      </w:r>
      <w:proofErr w:type="spellEnd"/>
      <w:r w:rsidRPr="007C76E0">
        <w:t xml:space="preserve">. After nucleation, the kinetics are given by </w:t>
      </w:r>
      <w:proofErr w:type="spellStart"/>
      <w:r w:rsidRPr="007C76E0">
        <w:t>k</w:t>
      </w:r>
      <w:r w:rsidRPr="007C76E0">
        <w:rPr>
          <w:vertAlign w:val="superscript"/>
        </w:rPr>
        <w:t>+</w:t>
      </w:r>
      <w:r w:rsidRPr="007C76E0">
        <w:rPr>
          <w:vertAlign w:val="subscript"/>
        </w:rPr>
        <w:t>poly</w:t>
      </w:r>
      <w:proofErr w:type="spellEnd"/>
      <w:r w:rsidRPr="007C76E0">
        <w:t xml:space="preserve"> and k</w:t>
      </w:r>
      <w:r w:rsidRPr="007C76E0">
        <w:rPr>
          <w:vertAlign w:val="superscript"/>
        </w:rPr>
        <w:t>-</w:t>
      </w:r>
      <w:r w:rsidRPr="007C76E0">
        <w:rPr>
          <w:vertAlign w:val="subscript"/>
        </w:rPr>
        <w:t>poly</w:t>
      </w:r>
      <w:r w:rsidRPr="007C76E0">
        <w:t xml:space="preserve">. When a conversion mechanism was simulated, kinetics of association and dissociation rates from the conversion step size were given by </w:t>
      </w:r>
      <w:proofErr w:type="spellStart"/>
      <w:r w:rsidRPr="007C76E0">
        <w:t>k</w:t>
      </w:r>
      <w:r w:rsidRPr="007C76E0">
        <w:rPr>
          <w:vertAlign w:val="superscript"/>
        </w:rPr>
        <w:t>+</w:t>
      </w:r>
      <w:r w:rsidRPr="007C76E0">
        <w:rPr>
          <w:vertAlign w:val="subscript"/>
        </w:rPr>
        <w:t>conv</w:t>
      </w:r>
      <w:proofErr w:type="spellEnd"/>
      <w:r w:rsidRPr="007C76E0">
        <w:t xml:space="preserve"> and k</w:t>
      </w:r>
      <w:r w:rsidRPr="007C76E0">
        <w:rPr>
          <w:vertAlign w:val="superscript"/>
        </w:rPr>
        <w:t>-</w:t>
      </w:r>
      <w:r w:rsidRPr="007C76E0">
        <w:rPr>
          <w:vertAlign w:val="subscript"/>
        </w:rPr>
        <w:t>conv</w:t>
      </w:r>
      <w:r w:rsidRPr="007C76E0">
        <w:t xml:space="preserve">. The kinetics of all other steps were given by </w:t>
      </w:r>
      <w:proofErr w:type="spellStart"/>
      <w:r w:rsidRPr="007C76E0">
        <w:t>k</w:t>
      </w:r>
      <w:r w:rsidRPr="007C76E0">
        <w:rPr>
          <w:vertAlign w:val="superscript"/>
        </w:rPr>
        <w:t>+</w:t>
      </w:r>
      <w:r w:rsidRPr="007C76E0">
        <w:rPr>
          <w:vertAlign w:val="subscript"/>
        </w:rPr>
        <w:t>poly</w:t>
      </w:r>
      <w:proofErr w:type="spellEnd"/>
      <w:r w:rsidRPr="007C76E0">
        <w:t xml:space="preserve"> and k</w:t>
      </w:r>
      <w:r w:rsidRPr="007C76E0">
        <w:rPr>
          <w:vertAlign w:val="superscript"/>
        </w:rPr>
        <w:t>-</w:t>
      </w:r>
      <w:r w:rsidRPr="007C76E0">
        <w:rPr>
          <w:vertAlign w:val="subscript"/>
        </w:rPr>
        <w:t>poly</w:t>
      </w:r>
      <w:r w:rsidRPr="007C76E0">
        <w:t xml:space="preserve"> unless stated otherwise. When investigating the influence of the kinetic rates for both nucleation and conversion mechanisms, either only the association rates (change on-rate) or only the dissociation rates (change off-rate) were changed in comparison to the polymerization kinetics.</w:t>
      </w:r>
    </w:p>
    <w:tbl>
      <w:tblPr>
        <w:tblStyle w:val="PlainTable1"/>
        <w:tblW w:w="9356" w:type="dxa"/>
        <w:tblInd w:w="-5" w:type="dxa"/>
        <w:tblLook w:val="04A0" w:firstRow="1" w:lastRow="0" w:firstColumn="1" w:lastColumn="0" w:noHBand="0" w:noVBand="1"/>
      </w:tblPr>
      <w:tblGrid>
        <w:gridCol w:w="2694"/>
        <w:gridCol w:w="3402"/>
        <w:gridCol w:w="3260"/>
      </w:tblGrid>
      <w:tr w:rsidR="00601577" w:rsidTr="00614DDB">
        <w:trPr>
          <w:cnfStyle w:val="100000000000" w:firstRow="1" w:lastRow="0" w:firstColumn="0" w:lastColumn="0" w:oddVBand="0" w:evenVBand="0" w:oddHBand="0"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proofErr w:type="spellStart"/>
            <w:r w:rsidRPr="00343813">
              <w:rPr>
                <w:b w:val="0"/>
              </w:rPr>
              <w:t>k</w:t>
            </w:r>
            <w:r w:rsidRPr="00343813">
              <w:rPr>
                <w:b w:val="0"/>
                <w:vertAlign w:val="superscript"/>
              </w:rPr>
              <w:t>+</w:t>
            </w:r>
            <w:r w:rsidRPr="00343813">
              <w:rPr>
                <w:b w:val="0"/>
                <w:vertAlign w:val="subscript"/>
              </w:rPr>
              <w:t>poly</w:t>
            </w:r>
            <w:proofErr w:type="spellEnd"/>
          </w:p>
        </w:tc>
        <w:tc>
          <w:tcPr>
            <w:tcW w:w="6662" w:type="dxa"/>
            <w:gridSpan w:val="2"/>
          </w:tcPr>
          <w:p w:rsidR="00601577" w:rsidRDefault="00601577" w:rsidP="00614DDB">
            <w:pPr>
              <w:keepNext/>
              <w:jc w:val="center"/>
              <w:cnfStyle w:val="100000000000" w:firstRow="1" w:lastRow="0" w:firstColumn="0" w:lastColumn="0" w:oddVBand="0" w:evenVBand="0" w:oddHBand="0" w:evenHBand="0" w:firstRowFirstColumn="0" w:firstRowLastColumn="0" w:lastRowFirstColumn="0" w:lastRowLastColumn="0"/>
            </w:pPr>
            <w:r w:rsidRPr="006B3595">
              <w:rPr>
                <w:color w:val="4472C4" w:themeColor="accent5"/>
              </w:rPr>
              <w:t>1</w:t>
            </w:r>
            <w:r>
              <w:rPr>
                <w:color w:val="4472C4" w:themeColor="accent5"/>
              </w:rPr>
              <w:t xml:space="preserve"> </w:t>
            </w:r>
            <w:r w:rsidRPr="00FB02AE">
              <w:rPr>
                <w:color w:val="4472C4" w:themeColor="accent5"/>
              </w:rPr>
              <w:t>s</w:t>
            </w:r>
            <w:r w:rsidRPr="00FB02AE">
              <w:rPr>
                <w:color w:val="4472C4" w:themeColor="accent5"/>
                <w:vertAlign w:val="superscript"/>
              </w:rPr>
              <w:t>-1</w:t>
            </w:r>
          </w:p>
        </w:tc>
      </w:tr>
      <w:tr w:rsidR="00601577" w:rsidTr="00614DDB">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k</w:t>
            </w:r>
            <w:r w:rsidRPr="006B3595">
              <w:rPr>
                <w:b w:val="0"/>
                <w:vertAlign w:val="superscript"/>
              </w:rPr>
              <w:t>-</w:t>
            </w:r>
            <w:r w:rsidRPr="006B3595">
              <w:rPr>
                <w:b w:val="0"/>
                <w:vertAlign w:val="subscript"/>
              </w:rPr>
              <w:t>poly</w:t>
            </w:r>
          </w:p>
        </w:tc>
        <w:tc>
          <w:tcPr>
            <w:tcW w:w="6662" w:type="dxa"/>
            <w:gridSpan w:val="2"/>
          </w:tcPr>
          <w:p w:rsidR="00601577" w:rsidRDefault="00601577" w:rsidP="00614DDB">
            <w:pPr>
              <w:keepNext/>
              <w:jc w:val="center"/>
              <w:cnfStyle w:val="000000100000" w:firstRow="0" w:lastRow="0" w:firstColumn="0" w:lastColumn="0" w:oddVBand="0" w:evenVBand="0" w:oddHBand="1" w:evenHBand="0" w:firstRowFirstColumn="0" w:firstRowLastColumn="0" w:lastRowFirstColumn="0" w:lastRowLastColumn="0"/>
            </w:pPr>
            <w:r w:rsidRPr="006B3595">
              <w:rPr>
                <w:b/>
                <w:bCs/>
                <w:color w:val="4472C4" w:themeColor="accent5"/>
              </w:rPr>
              <w:t>0.1</w:t>
            </w:r>
            <w:r>
              <w:rPr>
                <w:b/>
                <w:bCs/>
                <w:color w:val="4472C4" w:themeColor="accent5"/>
              </w:rPr>
              <w:t xml:space="preserve"> </w:t>
            </w:r>
            <w:r w:rsidRPr="00FB02AE">
              <w:rPr>
                <w:b/>
                <w:bCs/>
                <w:color w:val="4472C4" w:themeColor="accent5"/>
              </w:rPr>
              <w:t>s</w:t>
            </w:r>
            <w:r w:rsidRPr="00FB02AE">
              <w:rPr>
                <w:b/>
                <w:bCs/>
                <w:color w:val="4472C4" w:themeColor="accent5"/>
                <w:vertAlign w:val="superscript"/>
              </w:rPr>
              <w:t>-1</w:t>
            </w:r>
          </w:p>
        </w:tc>
      </w:tr>
      <w:tr w:rsidR="00601577" w:rsidTr="00614DDB">
        <w:trPr>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proofErr w:type="spellStart"/>
            <w:r w:rsidRPr="006B3595">
              <w:rPr>
                <w:b w:val="0"/>
              </w:rPr>
              <w:t>k</w:t>
            </w:r>
            <w:r w:rsidRPr="006B3595">
              <w:rPr>
                <w:b w:val="0"/>
                <w:vertAlign w:val="subscript"/>
              </w:rPr>
              <w:t>nuc</w:t>
            </w:r>
            <w:proofErr w:type="spellEnd"/>
            <w:r w:rsidRPr="006B3595">
              <w:rPr>
                <w:b w:val="0"/>
              </w:rPr>
              <w:t>/</w:t>
            </w:r>
            <w:proofErr w:type="spellStart"/>
            <w:r w:rsidRPr="006B3595">
              <w:rPr>
                <w:b w:val="0"/>
              </w:rPr>
              <w:t>k</w:t>
            </w:r>
            <w:r w:rsidRPr="006B3595">
              <w:rPr>
                <w:b w:val="0"/>
                <w:vertAlign w:val="subscript"/>
              </w:rPr>
              <w:t>conv</w:t>
            </w:r>
            <w:proofErr w:type="spellEnd"/>
          </w:p>
        </w:tc>
        <w:tc>
          <w:tcPr>
            <w:tcW w:w="3402" w:type="dxa"/>
            <w:shd w:val="clear" w:color="auto" w:fill="DEEAF6" w:themeFill="accent1" w:themeFillTint="33"/>
          </w:tcPr>
          <w:p w:rsidR="00601577"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t>Change on-rate</w:t>
            </w:r>
          </w:p>
        </w:tc>
        <w:tc>
          <w:tcPr>
            <w:tcW w:w="3260" w:type="dxa"/>
            <w:shd w:val="clear" w:color="auto" w:fill="E2EFD9" w:themeFill="accent6" w:themeFillTint="33"/>
          </w:tcPr>
          <w:p w:rsidR="00601577"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t>Change off-rate</w:t>
            </w:r>
          </w:p>
        </w:tc>
      </w:tr>
      <w:tr w:rsidR="00601577" w:rsidTr="00614DDB">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proofErr w:type="spellStart"/>
            <w:r w:rsidRPr="006B3595">
              <w:rPr>
                <w:b w:val="0"/>
              </w:rPr>
              <w:t>k</w:t>
            </w:r>
            <w:r w:rsidRPr="006B3595">
              <w:rPr>
                <w:b w:val="0"/>
                <w:vertAlign w:val="superscript"/>
              </w:rPr>
              <w:t>+</w:t>
            </w:r>
            <w:r w:rsidRPr="006B3595">
              <w:rPr>
                <w:b w:val="0"/>
                <w:vertAlign w:val="subscript"/>
              </w:rPr>
              <w:t>nuc</w:t>
            </w:r>
            <w:proofErr w:type="spellEnd"/>
            <w:r w:rsidRPr="006B3595">
              <w:rPr>
                <w:b w:val="0"/>
              </w:rPr>
              <w:t>/</w:t>
            </w:r>
            <w:proofErr w:type="spellStart"/>
            <w:r w:rsidRPr="006B3595">
              <w:rPr>
                <w:b w:val="0"/>
              </w:rPr>
              <w:t>k</w:t>
            </w:r>
            <w:r w:rsidRPr="006B3595">
              <w:rPr>
                <w:b w:val="0"/>
                <w:vertAlign w:val="superscript"/>
              </w:rPr>
              <w:t>+</w:t>
            </w:r>
            <w:r w:rsidRPr="006B3595">
              <w:rPr>
                <w:b w:val="0"/>
                <w:vertAlign w:val="subscript"/>
              </w:rPr>
              <w:t>conv</w:t>
            </w:r>
            <w:proofErr w:type="spellEnd"/>
          </w:p>
        </w:tc>
        <w:tc>
          <w:tcPr>
            <w:tcW w:w="3402" w:type="dxa"/>
            <w:shd w:val="clear" w:color="auto" w:fill="DEEAF6" w:themeFill="accent1" w:themeFillTint="33"/>
          </w:tcPr>
          <w:p w:rsidR="00601577" w:rsidRDefault="00601577" w:rsidP="00614DDB">
            <w:pPr>
              <w:keepNext/>
              <w:jc w:val="center"/>
              <w:cnfStyle w:val="000000100000" w:firstRow="0" w:lastRow="0" w:firstColumn="0" w:lastColumn="0" w:oddVBand="0" w:evenVBand="0" w:oddHBand="1" w:evenHBand="0" w:firstRowFirstColumn="0" w:firstRowLastColumn="0" w:lastRowFirstColumn="0" w:lastRowLastColumn="0"/>
            </w:pPr>
            <w:r w:rsidRPr="006B3595">
              <w:rPr>
                <w:b/>
                <w:bCs/>
                <w:color w:val="4472C4" w:themeColor="accent5"/>
              </w:rPr>
              <w:t>0.</w:t>
            </w:r>
            <w:r w:rsidRPr="00FB02AE">
              <w:rPr>
                <w:b/>
                <w:bCs/>
                <w:color w:val="2E74B5" w:themeColor="accent1" w:themeShade="BF"/>
              </w:rPr>
              <w:t xml:space="preserve">5 </w:t>
            </w:r>
            <w:r w:rsidRPr="00FB02AE">
              <w:rPr>
                <w:b/>
                <w:color w:val="2E74B5" w:themeColor="accent1" w:themeShade="BF"/>
              </w:rPr>
              <w:t>s</w:t>
            </w:r>
            <w:r w:rsidRPr="00FB02AE">
              <w:rPr>
                <w:b/>
                <w:color w:val="2E74B5" w:themeColor="accent1" w:themeShade="BF"/>
                <w:vertAlign w:val="superscript"/>
              </w:rPr>
              <w:t>-1</w:t>
            </w:r>
            <w:r w:rsidRPr="00FB02AE">
              <w:rPr>
                <w:color w:val="2E74B5" w:themeColor="accent1" w:themeShade="BF"/>
              </w:rPr>
              <w:t xml:space="preserve"> </w:t>
            </w:r>
            <w:r>
              <w:t xml:space="preserve">(0.1 </w:t>
            </w:r>
            <w:r w:rsidRPr="00FB02AE">
              <w:t>s</w:t>
            </w:r>
            <w:r w:rsidRPr="00FB02AE">
              <w:rPr>
                <w:vertAlign w:val="superscript"/>
              </w:rPr>
              <w:t>-1</w:t>
            </w:r>
            <w:r w:rsidRPr="00FB02AE">
              <w:t xml:space="preserve"> to 0.8 s</w:t>
            </w:r>
            <w:r w:rsidRPr="00FB02AE">
              <w:rPr>
                <w:vertAlign w:val="superscript"/>
              </w:rPr>
              <w:t>-1</w:t>
            </w:r>
            <w:r w:rsidRPr="00FB02AE">
              <w:t>)</w:t>
            </w:r>
          </w:p>
        </w:tc>
        <w:tc>
          <w:tcPr>
            <w:tcW w:w="3260" w:type="dxa"/>
            <w:shd w:val="clear" w:color="auto" w:fill="E2EFD9" w:themeFill="accent6" w:themeFillTint="33"/>
          </w:tcPr>
          <w:p w:rsidR="00601577" w:rsidRDefault="00601577" w:rsidP="00614DDB">
            <w:pPr>
              <w:keepNext/>
              <w:jc w:val="center"/>
              <w:cnfStyle w:val="000000100000" w:firstRow="0" w:lastRow="0" w:firstColumn="0" w:lastColumn="0" w:oddVBand="0" w:evenVBand="0" w:oddHBand="1" w:evenHBand="0" w:firstRowFirstColumn="0" w:firstRowLastColumn="0" w:lastRowFirstColumn="0" w:lastRowLastColumn="0"/>
            </w:pPr>
            <w:r w:rsidRPr="00FB02AE">
              <w:rPr>
                <w:b/>
                <w:bCs/>
                <w:color w:val="2E74B5" w:themeColor="accent1" w:themeShade="BF"/>
              </w:rPr>
              <w:t>1</w:t>
            </w:r>
            <w:r w:rsidRPr="00FB02AE">
              <w:rPr>
                <w:color w:val="2E74B5" w:themeColor="accent1" w:themeShade="BF"/>
              </w:rPr>
              <w:t xml:space="preserve"> </w:t>
            </w:r>
            <w:r w:rsidRPr="00FB02AE">
              <w:rPr>
                <w:b/>
                <w:color w:val="2E74B5" w:themeColor="accent1" w:themeShade="BF"/>
              </w:rPr>
              <w:t>s</w:t>
            </w:r>
            <w:r w:rsidRPr="00FB02AE">
              <w:rPr>
                <w:b/>
                <w:color w:val="2E74B5" w:themeColor="accent1" w:themeShade="BF"/>
                <w:vertAlign w:val="superscript"/>
              </w:rPr>
              <w:t>-1</w:t>
            </w:r>
          </w:p>
        </w:tc>
      </w:tr>
      <w:tr w:rsidR="00601577" w:rsidRPr="0090307F" w:rsidTr="00614DDB">
        <w:trPr>
          <w:trHeight w:val="31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k</w:t>
            </w:r>
            <w:r w:rsidRPr="006B3595">
              <w:rPr>
                <w:b w:val="0"/>
                <w:vertAlign w:val="superscript"/>
              </w:rPr>
              <w:t>-</w:t>
            </w:r>
            <w:proofErr w:type="spellStart"/>
            <w:r w:rsidRPr="006B3595">
              <w:rPr>
                <w:b w:val="0"/>
                <w:vertAlign w:val="subscript"/>
              </w:rPr>
              <w:t>nuc</w:t>
            </w:r>
            <w:proofErr w:type="spellEnd"/>
            <w:r w:rsidRPr="006B3595">
              <w:rPr>
                <w:b w:val="0"/>
              </w:rPr>
              <w:t>/k</w:t>
            </w:r>
            <w:r w:rsidRPr="006B3595">
              <w:rPr>
                <w:b w:val="0"/>
                <w:vertAlign w:val="superscript"/>
              </w:rPr>
              <w:t>-</w:t>
            </w:r>
            <w:proofErr w:type="spellStart"/>
            <w:r w:rsidRPr="006B3595">
              <w:rPr>
                <w:b w:val="0"/>
                <w:vertAlign w:val="subscript"/>
              </w:rPr>
              <w:t>conv</w:t>
            </w:r>
            <w:proofErr w:type="spellEnd"/>
            <w:r w:rsidRPr="006B3595">
              <w:rPr>
                <w:b w:val="0"/>
                <w:vertAlign w:val="subscript"/>
              </w:rPr>
              <w:t xml:space="preserve"> </w:t>
            </w:r>
          </w:p>
        </w:tc>
        <w:tc>
          <w:tcPr>
            <w:tcW w:w="3402" w:type="dxa"/>
            <w:shd w:val="clear" w:color="auto" w:fill="DEEAF6" w:themeFill="accent1" w:themeFillTint="33"/>
          </w:tcPr>
          <w:p w:rsidR="00601577" w:rsidRPr="0090307F"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rsidRPr="006B3595">
              <w:rPr>
                <w:b/>
                <w:bCs/>
                <w:color w:val="4472C4" w:themeColor="accent5"/>
              </w:rPr>
              <w:t>0.</w:t>
            </w:r>
            <w:r w:rsidRPr="00FB02AE">
              <w:rPr>
                <w:b/>
                <w:bCs/>
                <w:color w:val="2E74B5" w:themeColor="accent1" w:themeShade="BF"/>
              </w:rPr>
              <w:t>1</w:t>
            </w:r>
            <w:r w:rsidRPr="00FB02AE">
              <w:rPr>
                <w:color w:val="2E74B5" w:themeColor="accent1" w:themeShade="BF"/>
              </w:rPr>
              <w:t xml:space="preserve"> </w:t>
            </w:r>
            <w:r w:rsidRPr="00FB02AE">
              <w:rPr>
                <w:b/>
                <w:color w:val="2E74B5" w:themeColor="accent1" w:themeShade="BF"/>
              </w:rPr>
              <w:t>s</w:t>
            </w:r>
            <w:r w:rsidRPr="00FB02AE">
              <w:rPr>
                <w:b/>
                <w:color w:val="2E74B5" w:themeColor="accent1" w:themeShade="BF"/>
                <w:vertAlign w:val="superscript"/>
              </w:rPr>
              <w:t>-1</w:t>
            </w:r>
          </w:p>
        </w:tc>
        <w:tc>
          <w:tcPr>
            <w:tcW w:w="3260" w:type="dxa"/>
            <w:shd w:val="clear" w:color="auto" w:fill="E2EFD9" w:themeFill="accent6" w:themeFillTint="33"/>
          </w:tcPr>
          <w:p w:rsidR="00601577" w:rsidRPr="0090307F"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rPr>
                <w:b/>
                <w:bCs/>
                <w:color w:val="2E74B5" w:themeColor="accent1" w:themeShade="BF"/>
              </w:rPr>
              <w:t>0.</w:t>
            </w:r>
            <w:r w:rsidRPr="00FB02AE">
              <w:rPr>
                <w:b/>
                <w:bCs/>
                <w:color w:val="2E74B5" w:themeColor="accent1" w:themeShade="BF"/>
              </w:rPr>
              <w:t xml:space="preserve">5 </w:t>
            </w:r>
            <w:r w:rsidRPr="00FB02AE">
              <w:rPr>
                <w:b/>
                <w:color w:val="2E74B5" w:themeColor="accent1" w:themeShade="BF"/>
              </w:rPr>
              <w:t>s</w:t>
            </w:r>
            <w:r w:rsidRPr="00FB02AE">
              <w:rPr>
                <w:b/>
                <w:color w:val="2E74B5" w:themeColor="accent1" w:themeShade="BF"/>
                <w:vertAlign w:val="superscript"/>
              </w:rPr>
              <w:t>-1</w:t>
            </w:r>
            <w:r w:rsidRPr="00FB02AE">
              <w:rPr>
                <w:color w:val="2E74B5" w:themeColor="accent1" w:themeShade="BF"/>
              </w:rPr>
              <w:t xml:space="preserve"> </w:t>
            </w:r>
            <w:r>
              <w:t>(0.</w:t>
            </w:r>
            <w:r w:rsidRPr="00FB02AE">
              <w:t>2 s</w:t>
            </w:r>
            <w:r w:rsidRPr="00FB02AE">
              <w:rPr>
                <w:vertAlign w:val="superscript"/>
              </w:rPr>
              <w:t>-1</w:t>
            </w:r>
            <w:r w:rsidRPr="00FB02AE">
              <w:t xml:space="preserve"> to </w:t>
            </w:r>
            <w:r>
              <w:t>1</w:t>
            </w:r>
            <w:r w:rsidRPr="00FB02AE">
              <w:t xml:space="preserve"> s</w:t>
            </w:r>
            <w:r w:rsidRPr="00FB02AE">
              <w:rPr>
                <w:vertAlign w:val="superscript"/>
              </w:rPr>
              <w:t>-1</w:t>
            </w:r>
            <w:r w:rsidRPr="00FB02AE">
              <w:t>)</w:t>
            </w:r>
          </w:p>
        </w:tc>
      </w:tr>
      <w:tr w:rsidR="00601577" w:rsidRPr="0090307F" w:rsidTr="00614DDB">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Pr>
                <w:b w:val="0"/>
              </w:rPr>
              <w:t>Nucleus/conversion size</w:t>
            </w:r>
          </w:p>
        </w:tc>
        <w:tc>
          <w:tcPr>
            <w:tcW w:w="6662" w:type="dxa"/>
            <w:gridSpan w:val="2"/>
          </w:tcPr>
          <w:p w:rsidR="00601577" w:rsidRPr="006B3595" w:rsidRDefault="00601577" w:rsidP="00614DDB">
            <w:pPr>
              <w:keepNext/>
              <w:jc w:val="center"/>
              <w:cnfStyle w:val="000000100000" w:firstRow="0" w:lastRow="0" w:firstColumn="0" w:lastColumn="0" w:oddVBand="0" w:evenVBand="0" w:oddHBand="1" w:evenHBand="0" w:firstRowFirstColumn="0" w:firstRowLastColumn="0" w:lastRowFirstColumn="0" w:lastRowLastColumn="0"/>
              <w:rPr>
                <w:b/>
                <w:bCs/>
                <w:color w:val="4472C4" w:themeColor="accent5"/>
              </w:rPr>
            </w:pPr>
            <w:r>
              <w:rPr>
                <w:b/>
                <w:bCs/>
                <w:color w:val="4472C4" w:themeColor="accent5"/>
              </w:rPr>
              <w:t xml:space="preserve">4 </w:t>
            </w:r>
            <w:r w:rsidRPr="006B3595">
              <w:rPr>
                <w:bCs/>
              </w:rPr>
              <w:t>(2</w:t>
            </w:r>
            <w:r>
              <w:rPr>
                <w:bCs/>
              </w:rPr>
              <w:t xml:space="preserve"> to </w:t>
            </w:r>
            <w:r w:rsidRPr="006B3595">
              <w:rPr>
                <w:bCs/>
              </w:rPr>
              <w:t>5)</w:t>
            </w:r>
          </w:p>
        </w:tc>
      </w:tr>
      <w:tr w:rsidR="00601577" w:rsidRPr="0090307F" w:rsidTr="00614DDB">
        <w:trPr>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SNR</w:t>
            </w:r>
          </w:p>
        </w:tc>
        <w:tc>
          <w:tcPr>
            <w:tcW w:w="6662" w:type="dxa"/>
            <w:gridSpan w:val="2"/>
          </w:tcPr>
          <w:p w:rsidR="00601577" w:rsidRPr="0090307F"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rsidRPr="006B3595">
              <w:rPr>
                <w:b/>
                <w:bCs/>
                <w:color w:val="4472C4" w:themeColor="accent5"/>
              </w:rPr>
              <w:t>2</w:t>
            </w:r>
            <w:r>
              <w:t xml:space="preserve"> (0.1 to 3)</w:t>
            </w:r>
          </w:p>
        </w:tc>
      </w:tr>
      <w:tr w:rsidR="00601577" w:rsidRPr="0090307F" w:rsidTr="00614DDB">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Measurement rate</w:t>
            </w:r>
          </w:p>
        </w:tc>
        <w:tc>
          <w:tcPr>
            <w:tcW w:w="6662" w:type="dxa"/>
            <w:gridSpan w:val="2"/>
          </w:tcPr>
          <w:p w:rsidR="00601577" w:rsidRPr="0090307F" w:rsidRDefault="00601577" w:rsidP="00614DDB">
            <w:pPr>
              <w:keepNext/>
              <w:jc w:val="center"/>
              <w:cnfStyle w:val="000000100000" w:firstRow="0" w:lastRow="0" w:firstColumn="0" w:lastColumn="0" w:oddVBand="0" w:evenVBand="0" w:oddHBand="1" w:evenHBand="0" w:firstRowFirstColumn="0" w:firstRowLastColumn="0" w:lastRowFirstColumn="0" w:lastRowLastColumn="0"/>
            </w:pPr>
            <w:r>
              <w:t xml:space="preserve"> </w:t>
            </w:r>
            <w:r w:rsidRPr="00AF28F5">
              <w:rPr>
                <w:b/>
                <w:color w:val="2E74B5" w:themeColor="accent1" w:themeShade="BF"/>
              </w:rPr>
              <w:t>20</w:t>
            </w:r>
            <w:r>
              <w:t xml:space="preserve"> s</w:t>
            </w:r>
            <w:r w:rsidRPr="00CD41D3">
              <w:rPr>
                <w:vertAlign w:val="superscript"/>
              </w:rPr>
              <w:t>-1</w:t>
            </w:r>
            <w:r>
              <w:rPr>
                <w:vertAlign w:val="superscript"/>
              </w:rPr>
              <w:t xml:space="preserve"> </w:t>
            </w:r>
            <w:r w:rsidRPr="00AF28F5">
              <w:t>(</w:t>
            </w:r>
            <w:r>
              <w:t>2 s</w:t>
            </w:r>
            <w:r w:rsidRPr="00CD41D3">
              <w:rPr>
                <w:vertAlign w:val="superscript"/>
              </w:rPr>
              <w:t>-1</w:t>
            </w:r>
            <w:r>
              <w:t xml:space="preserve"> to 20 s</w:t>
            </w:r>
            <w:r w:rsidRPr="00CD41D3">
              <w:rPr>
                <w:vertAlign w:val="superscript"/>
              </w:rPr>
              <w:t>-1</w:t>
            </w:r>
            <w:r w:rsidRPr="00AF28F5">
              <w:t>)</w:t>
            </w:r>
          </w:p>
        </w:tc>
      </w:tr>
      <w:tr w:rsidR="00601577" w:rsidRPr="0090307F" w:rsidTr="00614DDB">
        <w:trPr>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Photobleaching rate</w:t>
            </w:r>
          </w:p>
        </w:tc>
        <w:tc>
          <w:tcPr>
            <w:tcW w:w="6662" w:type="dxa"/>
            <w:gridSpan w:val="2"/>
          </w:tcPr>
          <w:p w:rsidR="00601577" w:rsidRPr="0090307F" w:rsidRDefault="00601577" w:rsidP="00614DDB">
            <w:pPr>
              <w:keepNext/>
              <w:jc w:val="center"/>
              <w:cnfStyle w:val="000000000000" w:firstRow="0" w:lastRow="0" w:firstColumn="0" w:lastColumn="0" w:oddVBand="0" w:evenVBand="0" w:oddHBand="0" w:evenHBand="0" w:firstRowFirstColumn="0" w:firstRowLastColumn="0" w:lastRowFirstColumn="0" w:lastRowLastColumn="0"/>
            </w:pPr>
            <w:r w:rsidRPr="006B3595">
              <w:rPr>
                <w:b/>
                <w:bCs/>
                <w:color w:val="4472C4" w:themeColor="accent5"/>
              </w:rPr>
              <w:t>0</w:t>
            </w:r>
            <w:r>
              <w:t xml:space="preserve"> </w:t>
            </w:r>
            <w:r w:rsidRPr="001B71B2">
              <w:rPr>
                <w:b/>
                <w:color w:val="2E74B5" w:themeColor="accent1" w:themeShade="BF"/>
              </w:rPr>
              <w:t>s</w:t>
            </w:r>
            <w:r w:rsidRPr="001B71B2">
              <w:rPr>
                <w:b/>
                <w:color w:val="2E74B5" w:themeColor="accent1" w:themeShade="BF"/>
                <w:vertAlign w:val="superscript"/>
              </w:rPr>
              <w:t>-1</w:t>
            </w:r>
            <w:r w:rsidRPr="001B71B2">
              <w:rPr>
                <w:color w:val="2E74B5" w:themeColor="accent1" w:themeShade="BF"/>
              </w:rPr>
              <w:t xml:space="preserve"> </w:t>
            </w:r>
            <w:r>
              <w:t>(0.001 s</w:t>
            </w:r>
            <w:r w:rsidRPr="00CD41D3">
              <w:rPr>
                <w:vertAlign w:val="superscript"/>
              </w:rPr>
              <w:t>-1</w:t>
            </w:r>
            <w:r>
              <w:t xml:space="preserve"> to 0.03 s</w:t>
            </w:r>
            <w:r w:rsidRPr="00CD41D3">
              <w:rPr>
                <w:vertAlign w:val="superscript"/>
              </w:rPr>
              <w:t>-1</w:t>
            </w:r>
            <w:r>
              <w:t>)</w:t>
            </w:r>
          </w:p>
        </w:tc>
      </w:tr>
      <w:tr w:rsidR="00601577" w:rsidRPr="0090307F" w:rsidTr="00614DDB">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694" w:type="dxa"/>
          </w:tcPr>
          <w:p w:rsidR="00601577" w:rsidRPr="006B3595" w:rsidRDefault="00601577" w:rsidP="00614DDB">
            <w:pPr>
              <w:keepNext/>
              <w:jc w:val="left"/>
              <w:rPr>
                <w:b w:val="0"/>
              </w:rPr>
            </w:pPr>
            <w:r w:rsidRPr="006B3595">
              <w:rPr>
                <w:b w:val="0"/>
              </w:rPr>
              <w:t>Labeling efficiency</w:t>
            </w:r>
          </w:p>
        </w:tc>
        <w:tc>
          <w:tcPr>
            <w:tcW w:w="6662" w:type="dxa"/>
            <w:gridSpan w:val="2"/>
          </w:tcPr>
          <w:p w:rsidR="00601577" w:rsidRPr="0090307F" w:rsidRDefault="00601577" w:rsidP="00614DDB">
            <w:pPr>
              <w:keepNext/>
              <w:jc w:val="center"/>
              <w:cnfStyle w:val="000000100000" w:firstRow="0" w:lastRow="0" w:firstColumn="0" w:lastColumn="0" w:oddVBand="0" w:evenVBand="0" w:oddHBand="1" w:evenHBand="0" w:firstRowFirstColumn="0" w:firstRowLastColumn="0" w:lastRowFirstColumn="0" w:lastRowLastColumn="0"/>
            </w:pPr>
            <w:r>
              <w:t xml:space="preserve">specific: </w:t>
            </w:r>
            <w:r w:rsidRPr="006B3595">
              <w:rPr>
                <w:b/>
                <w:bCs/>
                <w:color w:val="4472C4" w:themeColor="accent5"/>
              </w:rPr>
              <w:t>1</w:t>
            </w:r>
            <w:r>
              <w:t xml:space="preserve"> (0.3 to 1), stochastic: 0.3 to 3</w:t>
            </w:r>
          </w:p>
        </w:tc>
      </w:tr>
    </w:tbl>
    <w:p w:rsidR="00601577" w:rsidRPr="0090307F" w:rsidRDefault="00601577" w:rsidP="00601577">
      <w:pPr>
        <w:keepNext/>
        <w:jc w:val="center"/>
        <w:rPr>
          <w:lang w:val="en-US"/>
        </w:rPr>
      </w:pPr>
    </w:p>
    <w:p w:rsidR="00601577" w:rsidRPr="0090307F" w:rsidRDefault="00601577" w:rsidP="00601577">
      <w:pPr>
        <w:keepNext/>
        <w:rPr>
          <w:lang w:val="en-US"/>
        </w:rPr>
      </w:pPr>
    </w:p>
    <w:p w:rsidR="00601577" w:rsidRPr="0090307F" w:rsidRDefault="00601577" w:rsidP="00601577">
      <w:pPr>
        <w:keepNext/>
        <w:jc w:val="center"/>
        <w:rPr>
          <w:lang w:val="en-US"/>
        </w:rPr>
      </w:pPr>
    </w:p>
    <w:p w:rsidR="00601577" w:rsidRPr="0090307F" w:rsidRDefault="00601577" w:rsidP="00601577">
      <w:pPr>
        <w:keepNext/>
        <w:rPr>
          <w:lang w:val="en-US"/>
        </w:rPr>
      </w:pPr>
    </w:p>
    <w:p w:rsidR="00601577" w:rsidRDefault="00601577" w:rsidP="00601577">
      <w:pPr>
        <w:keepNext/>
        <w:pageBreakBefore/>
        <w:jc w:val="center"/>
      </w:pPr>
      <w:r>
        <w:rPr>
          <w:noProof/>
          <w:lang w:eastAsia="de-DE"/>
        </w:rPr>
        <w:lastRenderedPageBreak/>
        <w:drawing>
          <wp:inline distT="0" distB="0" distL="0" distR="0" wp14:anchorId="693DCEEE" wp14:editId="0338744E">
            <wp:extent cx="3981555" cy="495563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upp_dwelltimes.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981555" cy="4955635"/>
                    </a:xfrm>
                    <a:prstGeom prst="rect">
                      <a:avLst/>
                    </a:prstGeom>
                  </pic:spPr>
                </pic:pic>
              </a:graphicData>
            </a:graphic>
          </wp:inline>
        </w:drawing>
      </w:r>
    </w:p>
    <w:p w:rsidR="00601577" w:rsidRPr="00102315" w:rsidRDefault="00601577" w:rsidP="00747B36">
      <w:pPr>
        <w:pStyle w:val="Caption"/>
      </w:pPr>
      <w:bookmarkStart w:id="1" w:name="_Ref524091362"/>
      <w:bookmarkStart w:id="2" w:name="_Ref4142971"/>
      <w:bookmarkStart w:id="3" w:name="_Ref71808022"/>
      <w:r>
        <w:t>Figure S</w:t>
      </w:r>
      <w:r>
        <w:fldChar w:fldCharType="begin"/>
      </w:r>
      <w:r>
        <w:instrText xml:space="preserve"> SEQ Figure_S \* ARABIC </w:instrText>
      </w:r>
      <w:r>
        <w:fldChar w:fldCharType="separate"/>
      </w:r>
      <w:r>
        <w:rPr>
          <w:noProof/>
        </w:rPr>
        <w:t>1</w:t>
      </w:r>
      <w:r>
        <w:rPr>
          <w:noProof/>
        </w:rPr>
        <w:fldChar w:fldCharType="end"/>
      </w:r>
      <w:bookmarkEnd w:id="1"/>
      <w:r>
        <w:t>:</w:t>
      </w:r>
      <w:bookmarkEnd w:id="2"/>
      <w:r>
        <w:t xml:space="preserve"> </w:t>
      </w:r>
      <w:r w:rsidRPr="00102315">
        <w:t xml:space="preserve">Dwell-time analysis on an assembly process with a conversion step at 2, 3, 4 or 5 monomers. (A, B): the dwell-time distributions for the first association step as simulated in (C) (A) and the first dissociation step as simulated in (D) (B) are shown. The dwell-time distribution for each individual step was fitted with a single-exponential distribution. (C, E): The extracted association rates for a nucleation (C) and a conversion mechanism (E) with different nucleation or conversion sizes. The dwell-time analysis is able to identify the association rates for the individual steps. The association rates during nucleation </w:t>
      </w:r>
      <w:proofErr w:type="spellStart"/>
      <w:r w:rsidRPr="00102315">
        <w:t>k</w:t>
      </w:r>
      <w:r w:rsidRPr="00102315">
        <w:rPr>
          <w:vertAlign w:val="superscript"/>
        </w:rPr>
        <w:t>+</w:t>
      </w:r>
      <w:r w:rsidRPr="00102315">
        <w:rPr>
          <w:vertAlign w:val="subscript"/>
        </w:rPr>
        <w:t>nuc</w:t>
      </w:r>
      <w:proofErr w:type="spellEnd"/>
      <w:r w:rsidRPr="00102315">
        <w:t xml:space="preserve"> (indicated in dark gray) were set to 50% of </w:t>
      </w:r>
      <w:proofErr w:type="spellStart"/>
      <w:r w:rsidRPr="00102315">
        <w:t>k</w:t>
      </w:r>
      <w:r w:rsidRPr="00102315">
        <w:rPr>
          <w:vertAlign w:val="superscript"/>
        </w:rPr>
        <w:t>+</w:t>
      </w:r>
      <w:r w:rsidRPr="00102315">
        <w:rPr>
          <w:vertAlign w:val="subscript"/>
        </w:rPr>
        <w:t>poly</w:t>
      </w:r>
      <w:proofErr w:type="spellEnd"/>
      <w:r w:rsidRPr="00102315">
        <w:t xml:space="preserve"> (indicated in light grey) with no change in the off-rates. (D, F): The extracted dissociation rates for a nucleation (D) and a conversion mechanism (F) with different nucleation or conversion sizes. The dwell-time analysis could not identify the dissociation rate changes during the nucleation or conversion steps. The dissociation rates during nucleation k</w:t>
      </w:r>
      <w:r w:rsidRPr="00102315">
        <w:rPr>
          <w:rFonts w:ascii="Calibri" w:eastAsia="Calibri" w:hAnsi="Calibri" w:cs="Calibri"/>
          <w:vertAlign w:val="superscript"/>
        </w:rPr>
        <w:t>-</w:t>
      </w:r>
      <w:proofErr w:type="spellStart"/>
      <w:r w:rsidRPr="00102315">
        <w:rPr>
          <w:vertAlign w:val="subscript"/>
        </w:rPr>
        <w:t>nuc</w:t>
      </w:r>
      <w:proofErr w:type="spellEnd"/>
      <w:r w:rsidRPr="00102315">
        <w:t xml:space="preserve"> (indicated in dark grey) were chosen to be 5x of k</w:t>
      </w:r>
      <w:r w:rsidRPr="00102315">
        <w:rPr>
          <w:rFonts w:ascii="Calibri" w:eastAsia="Calibri" w:hAnsi="Calibri" w:cs="Calibri"/>
          <w:vertAlign w:val="superscript"/>
        </w:rPr>
        <w:t>-</w:t>
      </w:r>
      <w:r w:rsidRPr="00102315">
        <w:rPr>
          <w:vertAlign w:val="subscript"/>
        </w:rPr>
        <w:t>poly</w:t>
      </w:r>
      <w:r w:rsidRPr="00102315">
        <w:t xml:space="preserve"> (indicated in light grey) with no change in the on-rates. Error bars for the rates represent the 95% confidence intervals of the exponential fits.</w:t>
      </w:r>
      <w:bookmarkEnd w:id="3"/>
    </w:p>
    <w:p w:rsidR="00601577" w:rsidRPr="00102315" w:rsidRDefault="00601577" w:rsidP="00601577">
      <w:pPr>
        <w:rPr>
          <w:lang w:val="en-US"/>
        </w:rPr>
      </w:pPr>
    </w:p>
    <w:p w:rsidR="00601577" w:rsidRDefault="00601577" w:rsidP="00601577">
      <w:pPr>
        <w:keepNext/>
        <w:pageBreakBefore/>
      </w:pPr>
      <w:r>
        <w:rPr>
          <w:noProof/>
          <w:lang w:eastAsia="de-DE"/>
        </w:rPr>
        <w:lastRenderedPageBreak/>
        <w:drawing>
          <wp:inline distT="0" distB="0" distL="0" distR="0" wp14:anchorId="27D280C5" wp14:editId="51A2D464">
            <wp:extent cx="5943600" cy="318407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2_v7_changeoffrate.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3184071"/>
                    </a:xfrm>
                    <a:prstGeom prst="rect">
                      <a:avLst/>
                    </a:prstGeom>
                  </pic:spPr>
                </pic:pic>
              </a:graphicData>
            </a:graphic>
          </wp:inline>
        </w:drawing>
      </w:r>
    </w:p>
    <w:p w:rsidR="00601577" w:rsidRPr="00102315" w:rsidRDefault="00601577" w:rsidP="00747B36">
      <w:pPr>
        <w:pStyle w:val="Caption"/>
      </w:pPr>
      <w:bookmarkStart w:id="4" w:name="_Ref73432072"/>
      <w:r w:rsidRPr="00102315">
        <w:t>Figure S</w:t>
      </w:r>
      <w:r w:rsidRPr="00102315">
        <w:fldChar w:fldCharType="begin"/>
      </w:r>
      <w:r w:rsidRPr="00102315">
        <w:instrText xml:space="preserve"> SEQ Figure_S \* ARABIC </w:instrText>
      </w:r>
      <w:r w:rsidRPr="00102315">
        <w:fldChar w:fldCharType="separate"/>
      </w:r>
      <w:r w:rsidRPr="00102315">
        <w:rPr>
          <w:noProof/>
        </w:rPr>
        <w:t>2</w:t>
      </w:r>
      <w:r w:rsidRPr="00102315">
        <w:rPr>
          <w:noProof/>
        </w:rPr>
        <w:fldChar w:fldCharType="end"/>
      </w:r>
      <w:bookmarkEnd w:id="4"/>
      <w:r w:rsidRPr="00102315">
        <w:t>: A comparison of the visitation analysis, average rates and dwell-time analysis on an assembly process with nucleus or conversion size of 2, 3, 4 or 5 monomers. The dissociation rates during nucleation k</w:t>
      </w:r>
      <w:r w:rsidRPr="00102315">
        <w:rPr>
          <w:rFonts w:ascii="Calibri" w:eastAsia="Calibri" w:hAnsi="Calibri" w:cs="Calibri"/>
          <w:vertAlign w:val="superscript"/>
        </w:rPr>
        <w:t>-</w:t>
      </w:r>
      <w:proofErr w:type="spellStart"/>
      <w:r w:rsidRPr="00102315">
        <w:rPr>
          <w:vertAlign w:val="subscript"/>
        </w:rPr>
        <w:t>nuc</w:t>
      </w:r>
      <w:proofErr w:type="spellEnd"/>
      <w:r w:rsidRPr="00102315">
        <w:t xml:space="preserve"> (indicated in dark grey in C and F) were chosen to be 5x faster than k</w:t>
      </w:r>
      <w:r w:rsidRPr="00102315">
        <w:rPr>
          <w:rFonts w:ascii="Calibri" w:eastAsia="Calibri" w:hAnsi="Calibri" w:cs="Calibri"/>
          <w:vertAlign w:val="superscript"/>
        </w:rPr>
        <w:t>-</w:t>
      </w:r>
      <w:r w:rsidRPr="00102315">
        <w:rPr>
          <w:vertAlign w:val="subscript"/>
        </w:rPr>
        <w:t>poly</w:t>
      </w:r>
      <w:r w:rsidRPr="00102315">
        <w:t xml:space="preserve"> (indicated in light grey in C and F) with no change in the on-rates. (A, D): A visitation analysis on a nucleation (A) and on a conversion mechanism (D). (B, E): Average rate analysis on the same nucleation and conversion mechanism as in (A, B). (C, F): A dwell-time analysis on the same nucleation and conversion mechanism as in (A, B). The dwell-time analysis cannot identify a mechanism with a change in the off-rate, since the extracted dissociation rates do not indicate any changes in the simulated rates. Error bars for the rates represent the 95% confidence intervals of the exponential fits. </w:t>
      </w:r>
    </w:p>
    <w:p w:rsidR="00601577" w:rsidRDefault="00601577" w:rsidP="00601577">
      <w:pPr>
        <w:rPr>
          <w:lang w:val="en-US"/>
        </w:rPr>
      </w:pPr>
    </w:p>
    <w:p w:rsidR="00601577" w:rsidRDefault="00601577" w:rsidP="00601577">
      <w:pPr>
        <w:keepNext/>
        <w:pageBreakBefore/>
      </w:pPr>
      <w:r>
        <w:rPr>
          <w:noProof/>
          <w:lang w:eastAsia="de-DE"/>
        </w:rPr>
        <w:lastRenderedPageBreak/>
        <w:drawing>
          <wp:inline distT="0" distB="0" distL="0" distR="0" wp14:anchorId="6EBAF477" wp14:editId="154167E7">
            <wp:extent cx="5740400" cy="1644650"/>
            <wp:effectExtent l="0" t="0" r="0" b="0"/>
            <wp:docPr id="19" name="Picture 19" descr="supp_dynam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p_dynamic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40400" cy="1644650"/>
                    </a:xfrm>
                    <a:prstGeom prst="rect">
                      <a:avLst/>
                    </a:prstGeom>
                    <a:noFill/>
                    <a:ln>
                      <a:noFill/>
                    </a:ln>
                  </pic:spPr>
                </pic:pic>
              </a:graphicData>
            </a:graphic>
          </wp:inline>
        </w:drawing>
      </w:r>
    </w:p>
    <w:p w:rsidR="00601577" w:rsidRPr="00772D15" w:rsidRDefault="00601577" w:rsidP="00747B36">
      <w:pPr>
        <w:pStyle w:val="Caption"/>
      </w:pPr>
      <w:bookmarkStart w:id="5" w:name="_Ref92356421"/>
      <w:r>
        <w:t>Figure S</w:t>
      </w:r>
      <w:r>
        <w:fldChar w:fldCharType="begin"/>
      </w:r>
      <w:r>
        <w:instrText xml:space="preserve"> SEQ Figure_S \* ARABIC </w:instrText>
      </w:r>
      <w:r>
        <w:fldChar w:fldCharType="separate"/>
      </w:r>
      <w:r>
        <w:rPr>
          <w:noProof/>
        </w:rPr>
        <w:t>3</w:t>
      </w:r>
      <w:r>
        <w:rPr>
          <w:noProof/>
        </w:rPr>
        <w:fldChar w:fldCharType="end"/>
      </w:r>
      <w:bookmarkEnd w:id="5"/>
      <w:r w:rsidRPr="002E5D85">
        <w:t xml:space="preserve">: </w:t>
      </w:r>
      <w:r w:rsidRPr="00526F78">
        <w:t xml:space="preserve">Mean number of upward (blue) and downward (red) transitions from a certain oligomer size (monomer number). A: </w:t>
      </w:r>
      <w:r>
        <w:t>Calculation f</w:t>
      </w:r>
      <w:r w:rsidRPr="00526F78">
        <w:t>or a nucleation mechanism</w:t>
      </w:r>
      <w:r>
        <w:t xml:space="preserve"> with a nucleus size of 3. D</w:t>
      </w:r>
      <w:r w:rsidRPr="00526F78">
        <w:t xml:space="preserve">uring nucleation, many upward and downward transitions occur. When the nucleus size is overcome, i.e. during polymerization, mainly upward transitions take place. </w:t>
      </w:r>
      <w:r>
        <w:t>B: A model for a h</w:t>
      </w:r>
      <w:r w:rsidRPr="00526F78">
        <w:t xml:space="preserve">ypothetic growth </w:t>
      </w:r>
      <w:r>
        <w:t>mechanism with different rates as shown.</w:t>
      </w:r>
      <w:r w:rsidRPr="00526F78">
        <w:t xml:space="preserve"> C:</w:t>
      </w:r>
      <w:r>
        <w:t xml:space="preserve"> Calculation of the m</w:t>
      </w:r>
      <w:r w:rsidRPr="00526F78">
        <w:t>ean number of upward (blue) and downward (red) transitions from a certain oligomer size (monomer number)</w:t>
      </w:r>
      <w:r>
        <w:t xml:space="preserve"> using the kinetic model shown in panel B</w:t>
      </w:r>
      <w:r w:rsidRPr="00526F78">
        <w:t xml:space="preserve">. </w:t>
      </w:r>
      <w:r>
        <w:t>The number of upward and downward transitions is not sensitive enough to detect kinetic changes in single steps.</w:t>
      </w:r>
    </w:p>
    <w:p w:rsidR="00601577" w:rsidRDefault="00601577" w:rsidP="00601577">
      <w:pPr>
        <w:keepNext/>
        <w:pageBreakBefore/>
        <w:jc w:val="center"/>
      </w:pPr>
      <w:r>
        <w:rPr>
          <w:noProof/>
          <w:lang w:eastAsia="de-DE"/>
        </w:rPr>
        <w:lastRenderedPageBreak/>
        <w:drawing>
          <wp:inline distT="0" distB="0" distL="0" distR="0" wp14:anchorId="093BC756" wp14:editId="555AED7B">
            <wp:extent cx="5867400" cy="3425494"/>
            <wp:effectExtent l="0" t="0" r="0" b="381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3_v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883191" cy="3434713"/>
                    </a:xfrm>
                    <a:prstGeom prst="rect">
                      <a:avLst/>
                    </a:prstGeom>
                  </pic:spPr>
                </pic:pic>
              </a:graphicData>
            </a:graphic>
          </wp:inline>
        </w:drawing>
      </w:r>
    </w:p>
    <w:p w:rsidR="00601577" w:rsidRPr="00102315" w:rsidRDefault="00601577" w:rsidP="00747B36">
      <w:pPr>
        <w:pStyle w:val="Caption"/>
        <w:rPr>
          <w:rFonts w:cstheme="minorHAnsi"/>
          <w:szCs w:val="24"/>
        </w:rPr>
      </w:pPr>
      <w:bookmarkStart w:id="6" w:name="_Ref19022603"/>
      <w:r w:rsidRPr="00561C2E">
        <w:t>Figure S</w:t>
      </w:r>
      <w:r>
        <w:fldChar w:fldCharType="begin"/>
      </w:r>
      <w:r w:rsidRPr="00561C2E">
        <w:instrText xml:space="preserve"> SEQ Figure_S \* ARABIC </w:instrText>
      </w:r>
      <w:r>
        <w:fldChar w:fldCharType="separate"/>
      </w:r>
      <w:r>
        <w:rPr>
          <w:noProof/>
        </w:rPr>
        <w:t>4</w:t>
      </w:r>
      <w:r>
        <w:rPr>
          <w:noProof/>
        </w:rPr>
        <w:fldChar w:fldCharType="end"/>
      </w:r>
      <w:bookmarkEnd w:id="6"/>
      <w:r w:rsidRPr="00561C2E">
        <w:t xml:space="preserve">: </w:t>
      </w:r>
      <w:r>
        <w:t>A v</w:t>
      </w:r>
      <w:r w:rsidRPr="00561C2E">
        <w:t xml:space="preserve">isitation analysis on a growth process </w:t>
      </w:r>
      <w:r>
        <w:t>where single steps have</w:t>
      </w:r>
      <w:r w:rsidRPr="00561C2E">
        <w:t xml:space="preserve"> different kinetics. </w:t>
      </w:r>
      <w:r w:rsidRPr="00114508">
        <w:t xml:space="preserve">A: </w:t>
      </w:r>
      <w:r>
        <w:rPr>
          <w:rFonts w:cstheme="minorHAnsi"/>
          <w:szCs w:val="24"/>
        </w:rPr>
        <w:t>Model used for the simulation</w:t>
      </w:r>
      <w:r w:rsidRPr="00114508">
        <w:t>. All monomer binding events have an on</w:t>
      </w:r>
      <w:r>
        <w:t>-</w:t>
      </w:r>
      <w:r w:rsidRPr="00114508">
        <w:t>rate k</w:t>
      </w:r>
      <w:r w:rsidRPr="00114508">
        <w:rPr>
          <w:vertAlign w:val="superscript"/>
        </w:rPr>
        <w:t>+</w:t>
      </w:r>
      <w:r w:rsidRPr="00114508">
        <w:t xml:space="preserve"> = 1 s</w:t>
      </w:r>
      <w:r w:rsidRPr="00114508">
        <w:rPr>
          <w:vertAlign w:val="superscript"/>
        </w:rPr>
        <w:t>-1</w:t>
      </w:r>
      <w:r w:rsidRPr="00114508">
        <w:t>, all dissociation events an off</w:t>
      </w:r>
      <w:r>
        <w:t>-</w:t>
      </w:r>
      <w:r w:rsidRPr="00114508">
        <w:t>rate k</w:t>
      </w:r>
      <w:r w:rsidRPr="00114508">
        <w:rPr>
          <w:vertAlign w:val="superscript"/>
        </w:rPr>
        <w:t>-</w:t>
      </w:r>
      <w:r w:rsidRPr="00114508">
        <w:t xml:space="preserve"> = 0.2 s</w:t>
      </w:r>
      <w:r w:rsidRPr="00114508">
        <w:rPr>
          <w:vertAlign w:val="superscript"/>
        </w:rPr>
        <w:t>-1</w:t>
      </w:r>
      <w:r>
        <w:t xml:space="preserve"> with the following exceptions:</w:t>
      </w:r>
      <w:r w:rsidRPr="00114508">
        <w:t xml:space="preserve"> The third and 10</w:t>
      </w:r>
      <w:r w:rsidRPr="00114508">
        <w:rPr>
          <w:vertAlign w:val="superscript"/>
        </w:rPr>
        <w:t>th</w:t>
      </w:r>
      <w:r w:rsidRPr="00114508">
        <w:t xml:space="preserve"> </w:t>
      </w:r>
      <w:r w:rsidRPr="00102315">
        <w:t>monomer binding event show a slower or a faster on-rate, respectively (by a factor of five, if not otherwise indicated) and are marked by blue stars; the 7</w:t>
      </w:r>
      <w:r w:rsidRPr="00102315">
        <w:rPr>
          <w:vertAlign w:val="superscript"/>
        </w:rPr>
        <w:t>th</w:t>
      </w:r>
      <w:r w:rsidRPr="00102315">
        <w:t xml:space="preserve"> and 13</w:t>
      </w:r>
      <w:r w:rsidRPr="00102315">
        <w:rPr>
          <w:vertAlign w:val="superscript"/>
        </w:rPr>
        <w:t>th</w:t>
      </w:r>
      <w:r w:rsidRPr="00102315">
        <w:t xml:space="preserve"> monomer binding event show a faster or slower off-rate, respectively, and are marked by red stars. All rates are simulated to show a single-exponential distribution. B-D: The visitation analysis can resolve multiple single steps with different kinetics.</w:t>
      </w:r>
      <w:r w:rsidRPr="00102315">
        <w:rPr>
          <w:noProof/>
        </w:rPr>
        <w:t xml:space="preserve"> B: The mean time the traces spent at a certain oligomer size is plotted. C: The mean number of occurrences is plotted as a function of oligomer size (i.e., number of visits). D: The mean time per visit is plotted as a function of oligomer size. E: </w:t>
      </w:r>
      <w:r w:rsidRPr="00102315">
        <w:rPr>
          <w:rFonts w:cstheme="minorHAnsi"/>
          <w:szCs w:val="24"/>
        </w:rPr>
        <w:t>Dwell-time analysis on the same simulated growth process. The dwell-time analysis is not able to resolve multiple individual rates even with a SNR of 2, measurement rate of 20 s</w:t>
      </w:r>
      <w:r w:rsidRPr="00102315">
        <w:rPr>
          <w:rFonts w:ascii="Calibri" w:eastAsia="Calibri" w:hAnsi="Calibri" w:cs="Calibri"/>
          <w:szCs w:val="24"/>
          <w:vertAlign w:val="superscript"/>
        </w:rPr>
        <w:t>-</w:t>
      </w:r>
      <w:r w:rsidRPr="00102315">
        <w:rPr>
          <w:rFonts w:cstheme="minorHAnsi"/>
          <w:szCs w:val="24"/>
          <w:vertAlign w:val="superscript"/>
        </w:rPr>
        <w:t>1</w:t>
      </w:r>
      <w:r w:rsidRPr="00102315">
        <w:rPr>
          <w:rFonts w:cstheme="minorHAnsi"/>
          <w:szCs w:val="24"/>
        </w:rPr>
        <w:t xml:space="preserve"> and no photobleaching. For the dissociation rates, the dwell-time analysis was shown to be unreliable for determination of the growth mechanism where the association rates are always faster than the dissociation rates (</w:t>
      </w:r>
      <w:r w:rsidRPr="00102315">
        <w:rPr>
          <w:rFonts w:cstheme="minorHAnsi"/>
          <w:szCs w:val="24"/>
        </w:rPr>
        <w:fldChar w:fldCharType="begin"/>
      </w:r>
      <w:r w:rsidRPr="00102315">
        <w:rPr>
          <w:rFonts w:cstheme="minorHAnsi"/>
          <w:szCs w:val="24"/>
        </w:rPr>
        <w:instrText xml:space="preserve"> REF _Ref524091362 \h </w:instrText>
      </w:r>
      <w:r w:rsidRPr="00102315">
        <w:rPr>
          <w:rFonts w:cstheme="minorHAnsi"/>
          <w:szCs w:val="24"/>
        </w:rPr>
      </w:r>
      <w:r w:rsidRPr="00102315">
        <w:rPr>
          <w:rFonts w:cstheme="minorHAnsi"/>
          <w:szCs w:val="24"/>
        </w:rPr>
        <w:fldChar w:fldCharType="separate"/>
      </w:r>
      <w:r w:rsidRPr="00102315">
        <w:t>Figure S</w:t>
      </w:r>
      <w:r w:rsidRPr="00102315">
        <w:rPr>
          <w:noProof/>
        </w:rPr>
        <w:t>1</w:t>
      </w:r>
      <w:r w:rsidRPr="00102315">
        <w:rPr>
          <w:rFonts w:cstheme="minorHAnsi"/>
          <w:szCs w:val="24"/>
        </w:rPr>
        <w:fldChar w:fldCharType="end"/>
      </w:r>
      <w:r w:rsidRPr="00102315">
        <w:rPr>
          <w:rFonts w:cstheme="minorHAnsi"/>
          <w:szCs w:val="24"/>
        </w:rPr>
        <w:t>). For multiple steps with different kinetics as simulated here, also the association rates cannot be extracted reliably.</w:t>
      </w:r>
    </w:p>
    <w:p w:rsidR="00601577" w:rsidRPr="00102315" w:rsidRDefault="00601577" w:rsidP="00601577">
      <w:pPr>
        <w:rPr>
          <w:lang w:val="en-US"/>
        </w:rPr>
      </w:pPr>
    </w:p>
    <w:p w:rsidR="00601577" w:rsidRPr="00561C2E" w:rsidRDefault="00601577" w:rsidP="00601577">
      <w:pPr>
        <w:keepNext/>
        <w:pageBreakBefore/>
        <w:rPr>
          <w:lang w:val="en-US"/>
        </w:rPr>
      </w:pPr>
      <w:r>
        <w:rPr>
          <w:noProof/>
          <w:lang w:eastAsia="de-DE"/>
        </w:rPr>
        <w:lastRenderedPageBreak/>
        <w:drawing>
          <wp:inline distT="0" distB="0" distL="0" distR="0" wp14:anchorId="1C556D37" wp14:editId="144B8F2E">
            <wp:extent cx="5810891" cy="3279655"/>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upp_VA_hypotheticrates.png"/>
                    <pic:cNvPicPr/>
                  </pic:nvPicPr>
                  <pic:blipFill>
                    <a:blip r:embed="rId9">
                      <a:extLst>
                        <a:ext uri="{28A0092B-C50C-407E-A947-70E740481C1C}">
                          <a14:useLocalDpi xmlns:a14="http://schemas.microsoft.com/office/drawing/2010/main" val="0"/>
                        </a:ext>
                      </a:extLst>
                    </a:blip>
                    <a:stretch>
                      <a:fillRect/>
                    </a:stretch>
                  </pic:blipFill>
                  <pic:spPr>
                    <a:xfrm>
                      <a:off x="0" y="0"/>
                      <a:ext cx="5810891" cy="3279655"/>
                    </a:xfrm>
                    <a:prstGeom prst="rect">
                      <a:avLst/>
                    </a:prstGeom>
                  </pic:spPr>
                </pic:pic>
              </a:graphicData>
            </a:graphic>
          </wp:inline>
        </w:drawing>
      </w:r>
    </w:p>
    <w:p w:rsidR="00601577" w:rsidRDefault="00601577" w:rsidP="00747B36">
      <w:pPr>
        <w:pStyle w:val="Caption"/>
      </w:pPr>
      <w:bookmarkStart w:id="7" w:name="_Ref524091674"/>
      <w:r>
        <w:t>Figure S</w:t>
      </w:r>
      <w:r>
        <w:rPr>
          <w:noProof/>
        </w:rPr>
        <w:fldChar w:fldCharType="begin"/>
      </w:r>
      <w:r>
        <w:rPr>
          <w:noProof/>
        </w:rPr>
        <w:instrText xml:space="preserve"> SEQ Figure_S \* ARABIC </w:instrText>
      </w:r>
      <w:r>
        <w:rPr>
          <w:noProof/>
        </w:rPr>
        <w:fldChar w:fldCharType="separate"/>
      </w:r>
      <w:r>
        <w:rPr>
          <w:noProof/>
        </w:rPr>
        <w:t>5</w:t>
      </w:r>
      <w:r>
        <w:rPr>
          <w:noProof/>
        </w:rPr>
        <w:fldChar w:fldCharType="end"/>
      </w:r>
      <w:bookmarkEnd w:id="7"/>
      <w:r>
        <w:t xml:space="preserve">: </w:t>
      </w:r>
      <w:r w:rsidRPr="004E73DB">
        <w:t xml:space="preserve">Reliability of the visitation analysis for a hypothetic growth process. </w:t>
      </w:r>
      <w:r>
        <w:t xml:space="preserve">(A): A visitation analysis of simulations using the model described in Figure S4A, where the varying </w:t>
      </w:r>
      <w:r w:rsidRPr="004E73DB">
        <w:t>the</w:t>
      </w:r>
      <w:r>
        <w:t xml:space="preserve"> </w:t>
      </w:r>
      <w:r w:rsidRPr="004E73DB">
        <w:t>default rates by different factors. The difference betwe</w:t>
      </w:r>
      <w:r>
        <w:t xml:space="preserve">en the single steps with slower </w:t>
      </w:r>
      <w:r w:rsidRPr="004E73DB">
        <w:t xml:space="preserve">or faster kinetics can still be detected </w:t>
      </w:r>
      <w:r>
        <w:t>for differences of</w:t>
      </w:r>
      <w:r w:rsidRPr="004E73DB">
        <w:t xml:space="preserve"> a factor of 1.5.</w:t>
      </w:r>
      <w:r>
        <w:t xml:space="preserve"> (B): Impact of the SNR. Using a</w:t>
      </w:r>
      <w:r w:rsidRPr="004E73DB">
        <w:t xml:space="preserve"> differe</w:t>
      </w:r>
      <w:r>
        <w:t xml:space="preserve">nce in kinetic rates of a factor of </w:t>
      </w:r>
      <w:r w:rsidRPr="004E73DB">
        <w:t>five</w:t>
      </w:r>
      <w:r>
        <w:t xml:space="preserve">, we simulated SNR ratios from 3 to 0.1. Individual </w:t>
      </w:r>
      <w:r w:rsidRPr="004E73DB">
        <w:t xml:space="preserve">steps are visible down to a SNR of 0.5. </w:t>
      </w:r>
      <w:r>
        <w:t>(C)</w:t>
      </w:r>
      <w:r w:rsidRPr="004E73DB">
        <w:t xml:space="preserve">: Varying the sampling rate. </w:t>
      </w:r>
      <w:r>
        <w:t xml:space="preserve">Using the model described in Figure S4A, we performed simulations with different sampling times. The visitation analysis is able </w:t>
      </w:r>
      <w:r w:rsidRPr="004E73DB">
        <w:t xml:space="preserve">to detect individual steps at measurement rates down </w:t>
      </w:r>
      <w:r>
        <w:t>to 5 times the default on-rate. (D)</w:t>
      </w:r>
      <w:r w:rsidRPr="004E73DB">
        <w:t xml:space="preserve">: Visitation analysis on simulations considering the </w:t>
      </w:r>
      <w:r>
        <w:t>influence of photobleaching. The association rates during nucleation need to be fast compared to the photobleaching rate in order to resolve the first steps in an assembly process.</w:t>
      </w:r>
    </w:p>
    <w:p w:rsidR="00601577" w:rsidRPr="005E44D6" w:rsidRDefault="00601577" w:rsidP="00601577">
      <w:pPr>
        <w:rPr>
          <w:lang w:val="en-US"/>
        </w:rPr>
      </w:pPr>
    </w:p>
    <w:p w:rsidR="00601577" w:rsidRDefault="00601577" w:rsidP="00747B36">
      <w:pPr>
        <w:keepNext/>
        <w:pageBreakBefore/>
        <w:jc w:val="center"/>
      </w:pPr>
      <w:r>
        <w:rPr>
          <w:noProof/>
          <w:lang w:eastAsia="de-DE"/>
        </w:rPr>
        <w:lastRenderedPageBreak/>
        <w:drawing>
          <wp:inline distT="0" distB="0" distL="0" distR="0" wp14:anchorId="31C09408" wp14:editId="43FBB2D9">
            <wp:extent cx="4379935" cy="2070763"/>
            <wp:effectExtent l="0" t="0" r="1905"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3_v2.png"/>
                    <pic:cNvPicPr/>
                  </pic:nvPicPr>
                  <pic:blipFill>
                    <a:blip r:embed="rId10">
                      <a:extLst>
                        <a:ext uri="{28A0092B-C50C-407E-A947-70E740481C1C}">
                          <a14:useLocalDpi xmlns:a14="http://schemas.microsoft.com/office/drawing/2010/main" val="0"/>
                        </a:ext>
                      </a:extLst>
                    </a:blip>
                    <a:stretch>
                      <a:fillRect/>
                    </a:stretch>
                  </pic:blipFill>
                  <pic:spPr bwMode="auto">
                    <a:xfrm>
                      <a:off x="0" y="0"/>
                      <a:ext cx="4379935" cy="2070763"/>
                    </a:xfrm>
                    <a:prstGeom prst="rect">
                      <a:avLst/>
                    </a:prstGeom>
                    <a:ln>
                      <a:noFill/>
                    </a:ln>
                    <a:extLst>
                      <a:ext uri="{53640926-AAD7-44D8-BBD7-CCE9431645EC}">
                        <a14:shadowObscured xmlns:a14="http://schemas.microsoft.com/office/drawing/2010/main"/>
                      </a:ext>
                    </a:extLst>
                  </pic:spPr>
                </pic:pic>
              </a:graphicData>
            </a:graphic>
          </wp:inline>
        </w:drawing>
      </w:r>
    </w:p>
    <w:p w:rsidR="00601577" w:rsidRPr="0070319B" w:rsidRDefault="00601577" w:rsidP="00601577">
      <w:pPr>
        <w:rPr>
          <w:lang w:val="en-US"/>
        </w:rPr>
      </w:pPr>
      <w:bookmarkStart w:id="8" w:name="_Ref56417904"/>
      <w:r w:rsidRPr="005A70B6">
        <w:rPr>
          <w:lang w:val="en-US"/>
        </w:rPr>
        <w:t>Figure S</w:t>
      </w:r>
      <w:r>
        <w:fldChar w:fldCharType="begin"/>
      </w:r>
      <w:r w:rsidRPr="005A70B6">
        <w:rPr>
          <w:lang w:val="en-US"/>
        </w:rPr>
        <w:instrText xml:space="preserve"> SEQ Figure_S \* ARABIC </w:instrText>
      </w:r>
      <w:r>
        <w:fldChar w:fldCharType="separate"/>
      </w:r>
      <w:r>
        <w:rPr>
          <w:noProof/>
          <w:lang w:val="en-US"/>
        </w:rPr>
        <w:t>6</w:t>
      </w:r>
      <w:r>
        <w:fldChar w:fldCharType="end"/>
      </w:r>
      <w:bookmarkEnd w:id="8"/>
      <w:r w:rsidRPr="005A70B6">
        <w:rPr>
          <w:lang w:val="en-US"/>
        </w:rPr>
        <w:t>:</w:t>
      </w:r>
      <w:r w:rsidRPr="005A70B6">
        <w:rPr>
          <w:noProof/>
          <w:lang w:val="en-US"/>
        </w:rPr>
        <w:t xml:space="preserve"> </w:t>
      </w:r>
      <w:r w:rsidRPr="00A16634">
        <w:rPr>
          <w:lang w:val="en-US"/>
        </w:rPr>
        <w:t>The influence of a change in the on-rate ver</w:t>
      </w:r>
      <w:r>
        <w:rPr>
          <w:lang w:val="en-US"/>
        </w:rPr>
        <w:t xml:space="preserve">sus a change in the off-rate in </w:t>
      </w:r>
      <w:r w:rsidRPr="00A16634">
        <w:rPr>
          <w:lang w:val="en-US"/>
        </w:rPr>
        <w:t>the average r</w:t>
      </w:r>
      <w:r>
        <w:rPr>
          <w:lang w:val="en-US"/>
        </w:rPr>
        <w:t>ate analysis for a nucleation mechanism with a nucleus size of 4 monomers. (A)</w:t>
      </w:r>
      <w:r w:rsidRPr="00A16634">
        <w:rPr>
          <w:lang w:val="en-US"/>
        </w:rPr>
        <w:t>: Average rate analysis on simulations varying the ass</w:t>
      </w:r>
      <w:r>
        <w:rPr>
          <w:lang w:val="en-US"/>
        </w:rPr>
        <w:t>ociation rate during nucleation.</w:t>
      </w:r>
      <w:r w:rsidRPr="00A16634">
        <w:rPr>
          <w:lang w:val="en-US"/>
        </w:rPr>
        <w:t xml:space="preserve"> The associa</w:t>
      </w:r>
      <w:r>
        <w:rPr>
          <w:lang w:val="en-US"/>
        </w:rPr>
        <w:t xml:space="preserve">tion rates during nucleation </w:t>
      </w:r>
      <w:proofErr w:type="spellStart"/>
      <w:r>
        <w:rPr>
          <w:lang w:val="en-US"/>
        </w:rPr>
        <w:t>k</w:t>
      </w:r>
      <w:r w:rsidRPr="006E76B7">
        <w:rPr>
          <w:vertAlign w:val="superscript"/>
          <w:lang w:val="en-US"/>
        </w:rPr>
        <w:t>+</w:t>
      </w:r>
      <w:r w:rsidRPr="006E76B7">
        <w:rPr>
          <w:vertAlign w:val="subscript"/>
          <w:lang w:val="en-US"/>
        </w:rPr>
        <w:t>nuc</w:t>
      </w:r>
      <w:proofErr w:type="spellEnd"/>
      <w:r>
        <w:rPr>
          <w:lang w:val="en-US"/>
        </w:rPr>
        <w:t xml:space="preserve"> were set to 10, 50 or 80% of </w:t>
      </w:r>
      <w:proofErr w:type="spellStart"/>
      <w:r>
        <w:rPr>
          <w:lang w:val="en-US"/>
        </w:rPr>
        <w:t>k</w:t>
      </w:r>
      <w:r w:rsidRPr="006E76B7">
        <w:rPr>
          <w:vertAlign w:val="superscript"/>
          <w:lang w:val="en-US"/>
        </w:rPr>
        <w:t>+</w:t>
      </w:r>
      <w:r w:rsidRPr="006E76B7">
        <w:rPr>
          <w:vertAlign w:val="subscript"/>
          <w:lang w:val="en-US"/>
        </w:rPr>
        <w:t>poly</w:t>
      </w:r>
      <w:proofErr w:type="spellEnd"/>
      <w:r>
        <w:rPr>
          <w:lang w:val="en-US"/>
        </w:rPr>
        <w:t>. (B)</w:t>
      </w:r>
      <w:r w:rsidRPr="00A16634">
        <w:rPr>
          <w:lang w:val="en-US"/>
        </w:rPr>
        <w:t>: Average rate analysis on simulation</w:t>
      </w:r>
      <w:r>
        <w:rPr>
          <w:lang w:val="en-US"/>
        </w:rPr>
        <w:t>s varying the dissociation rate during nucleation.</w:t>
      </w:r>
      <w:r w:rsidRPr="00A16634">
        <w:rPr>
          <w:lang w:val="en-US"/>
        </w:rPr>
        <w:t xml:space="preserve"> The dissociation rates during nucleation k</w:t>
      </w:r>
      <w:r w:rsidRPr="006E76B7">
        <w:rPr>
          <w:rFonts w:ascii="Calibri" w:eastAsia="Calibri" w:hAnsi="Calibri" w:cs="Calibri"/>
          <w:vertAlign w:val="superscript"/>
          <w:lang w:val="en-US"/>
        </w:rPr>
        <w:t>-</w:t>
      </w:r>
      <w:proofErr w:type="spellStart"/>
      <w:r w:rsidRPr="006E76B7">
        <w:rPr>
          <w:vertAlign w:val="subscript"/>
          <w:lang w:val="en-US"/>
        </w:rPr>
        <w:t>nuc</w:t>
      </w:r>
      <w:proofErr w:type="spellEnd"/>
      <w:r>
        <w:rPr>
          <w:lang w:val="en-US"/>
        </w:rPr>
        <w:t xml:space="preserve"> were a </w:t>
      </w:r>
      <w:r w:rsidRPr="00A16634">
        <w:rPr>
          <w:lang w:val="en-US"/>
        </w:rPr>
        <w:t>factor of 10, 5 or 2 of k</w:t>
      </w:r>
      <w:r w:rsidRPr="006E76B7">
        <w:rPr>
          <w:rFonts w:ascii="Calibri" w:eastAsia="Calibri" w:hAnsi="Calibri" w:cs="Calibri"/>
          <w:vertAlign w:val="superscript"/>
          <w:lang w:val="en-US"/>
        </w:rPr>
        <w:t>-</w:t>
      </w:r>
      <w:r w:rsidRPr="006E76B7">
        <w:rPr>
          <w:vertAlign w:val="subscript"/>
          <w:lang w:val="en-US"/>
        </w:rPr>
        <w:t>poly</w:t>
      </w:r>
      <w:r w:rsidRPr="00A16634">
        <w:rPr>
          <w:lang w:val="en-US"/>
        </w:rPr>
        <w:t>.</w:t>
      </w:r>
      <w:r>
        <w:rPr>
          <w:lang w:val="en-US"/>
        </w:rPr>
        <w:t xml:space="preserve"> The average rates show a </w:t>
      </w:r>
      <w:r w:rsidRPr="00A16634">
        <w:rPr>
          <w:lang w:val="en-US"/>
        </w:rPr>
        <w:t>different behavior dependent on whether the associatio</w:t>
      </w:r>
      <w:r>
        <w:rPr>
          <w:lang w:val="en-US"/>
        </w:rPr>
        <w:t xml:space="preserve">n rate or the dissociation rate </w:t>
      </w:r>
      <w:r w:rsidRPr="00A16634">
        <w:rPr>
          <w:lang w:val="en-US"/>
        </w:rPr>
        <w:t>was changed with respect to the polymerization rates.</w:t>
      </w:r>
    </w:p>
    <w:p w:rsidR="00601577" w:rsidRPr="00567D6B" w:rsidRDefault="00601577" w:rsidP="00601577">
      <w:pPr>
        <w:rPr>
          <w:lang w:val="en-US"/>
        </w:rPr>
      </w:pPr>
    </w:p>
    <w:p w:rsidR="00601577" w:rsidRDefault="00601577" w:rsidP="00601577">
      <w:pPr>
        <w:keepNext/>
        <w:pageBreakBefore/>
        <w:jc w:val="center"/>
      </w:pPr>
      <w:r>
        <w:rPr>
          <w:noProof/>
          <w:lang w:eastAsia="de-DE"/>
        </w:rPr>
        <w:lastRenderedPageBreak/>
        <w:drawing>
          <wp:inline distT="0" distB="0" distL="0" distR="0" wp14:anchorId="2A0914A9" wp14:editId="396A6B77">
            <wp:extent cx="4253023" cy="6860764"/>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upp_avrates.png"/>
                    <pic:cNvPicPr/>
                  </pic:nvPicPr>
                  <pic:blipFill>
                    <a:blip r:embed="rId11">
                      <a:extLst>
                        <a:ext uri="{28A0092B-C50C-407E-A947-70E740481C1C}">
                          <a14:useLocalDpi xmlns:a14="http://schemas.microsoft.com/office/drawing/2010/main" val="0"/>
                        </a:ext>
                      </a:extLst>
                    </a:blip>
                    <a:stretch>
                      <a:fillRect/>
                    </a:stretch>
                  </pic:blipFill>
                  <pic:spPr>
                    <a:xfrm>
                      <a:off x="0" y="0"/>
                      <a:ext cx="4289602" cy="6919771"/>
                    </a:xfrm>
                    <a:prstGeom prst="rect">
                      <a:avLst/>
                    </a:prstGeom>
                  </pic:spPr>
                </pic:pic>
              </a:graphicData>
            </a:graphic>
          </wp:inline>
        </w:drawing>
      </w:r>
    </w:p>
    <w:p w:rsidR="00601577" w:rsidRPr="00567D6B" w:rsidRDefault="00601577" w:rsidP="00747B36">
      <w:pPr>
        <w:pStyle w:val="Caption"/>
      </w:pPr>
      <w:bookmarkStart w:id="9" w:name="_Ref524092172"/>
      <w:r>
        <w:t>Figure S</w:t>
      </w:r>
      <w:r>
        <w:rPr>
          <w:noProof/>
        </w:rPr>
        <w:fldChar w:fldCharType="begin"/>
      </w:r>
      <w:r>
        <w:rPr>
          <w:noProof/>
        </w:rPr>
        <w:instrText xml:space="preserve"> SEQ Figure_S \* ARABIC </w:instrText>
      </w:r>
      <w:r>
        <w:rPr>
          <w:noProof/>
        </w:rPr>
        <w:fldChar w:fldCharType="separate"/>
      </w:r>
      <w:r>
        <w:rPr>
          <w:noProof/>
        </w:rPr>
        <w:t>7</w:t>
      </w:r>
      <w:r>
        <w:rPr>
          <w:noProof/>
        </w:rPr>
        <w:fldChar w:fldCharType="end"/>
      </w:r>
      <w:bookmarkEnd w:id="9"/>
      <w:r>
        <w:t>:  Robustness of the average rate analysis. (A, B): An average rate analysis on simulations applying different SNRs. A nucleation mechanism (A) or a slow conversion step (B) can be detected even at a SNR</w:t>
      </w:r>
      <w:r w:rsidRPr="00515C75">
        <w:t xml:space="preserve"> of 0.1</w:t>
      </w:r>
      <w:r>
        <w:t xml:space="preserve">. (C, D): An average rate analysis on simulations varying the sampling time. To detect a nucleation mechanism or conversion step, the measurement rates should be at least 2x faster than the fastest rate. (E, F): An average rate analysis for simulations using monomers with different labeling efficiencies. A nucleation mechanism (E) or a conversion step </w:t>
      </w:r>
      <w:r>
        <w:lastRenderedPageBreak/>
        <w:t>(F) can be detected at all tested labeling efficiencies down to 30%. For the correct conversion step (F), the labeling efficiency should be at 100%. (G, H): An average rate analysis for simulations considering the influence of photobleaching. A high photobleaching rate can shorten the average trace or lead to apparently slower kinetics.</w:t>
      </w:r>
    </w:p>
    <w:p w:rsidR="00601577" w:rsidRPr="00E9103F" w:rsidRDefault="00601577" w:rsidP="00601577">
      <w:pPr>
        <w:keepNext/>
        <w:rPr>
          <w:lang w:val="en-US"/>
        </w:rPr>
      </w:pPr>
    </w:p>
    <w:p w:rsidR="00601577" w:rsidRPr="00E9103F" w:rsidRDefault="00601577" w:rsidP="00601577">
      <w:pPr>
        <w:keepNext/>
        <w:pageBreakBefore/>
        <w:jc w:val="center"/>
        <w:rPr>
          <w:lang w:val="en-US"/>
        </w:rPr>
      </w:pPr>
      <w:r>
        <w:rPr>
          <w:noProof/>
          <w:lang w:eastAsia="de-DE"/>
        </w:rPr>
        <w:lastRenderedPageBreak/>
        <w:drawing>
          <wp:inline distT="0" distB="0" distL="0" distR="0" wp14:anchorId="42A9866D" wp14:editId="7C96E766">
            <wp:extent cx="5818644" cy="3213963"/>
            <wp:effectExtent l="0" t="0" r="0" b="571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upp_VA_nucleation_v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18644" cy="3213963"/>
                    </a:xfrm>
                    <a:prstGeom prst="rect">
                      <a:avLst/>
                    </a:prstGeom>
                  </pic:spPr>
                </pic:pic>
              </a:graphicData>
            </a:graphic>
          </wp:inline>
        </w:drawing>
      </w:r>
    </w:p>
    <w:p w:rsidR="00601577" w:rsidRDefault="00601577" w:rsidP="00747B36">
      <w:pPr>
        <w:pStyle w:val="Caption"/>
      </w:pPr>
      <w:bookmarkStart w:id="10" w:name="_Ref524091973"/>
      <w:r w:rsidRPr="00711CD7">
        <w:t>Figure S</w:t>
      </w:r>
      <w:r>
        <w:rPr>
          <w:noProof/>
        </w:rPr>
        <w:fldChar w:fldCharType="begin"/>
      </w:r>
      <w:r w:rsidRPr="00711CD7">
        <w:rPr>
          <w:noProof/>
        </w:rPr>
        <w:instrText xml:space="preserve"> SEQ Figure_S \* ARABIC </w:instrText>
      </w:r>
      <w:r>
        <w:rPr>
          <w:noProof/>
        </w:rPr>
        <w:fldChar w:fldCharType="separate"/>
      </w:r>
      <w:r>
        <w:rPr>
          <w:noProof/>
        </w:rPr>
        <w:t>8</w:t>
      </w:r>
      <w:r>
        <w:rPr>
          <w:noProof/>
        </w:rPr>
        <w:fldChar w:fldCharType="end"/>
      </w:r>
      <w:bookmarkEnd w:id="10"/>
      <w:r w:rsidRPr="00711CD7">
        <w:t xml:space="preserve">: Robustness of the visitation analysis applied to a nucleation mechanism with a nucleus size of four monomers. </w:t>
      </w:r>
      <w:r>
        <w:t>(</w:t>
      </w:r>
      <w:r w:rsidRPr="00711CD7">
        <w:t>A,</w:t>
      </w:r>
      <w:r>
        <w:t xml:space="preserve"> </w:t>
      </w:r>
      <w:r w:rsidRPr="00711CD7">
        <w:t>B</w:t>
      </w:r>
      <w:r>
        <w:t>)</w:t>
      </w:r>
      <w:r w:rsidRPr="00711CD7">
        <w:t xml:space="preserve">: Difference between nucleation and polymerization kinetics. The association rates during nucleation </w:t>
      </w:r>
      <w:proofErr w:type="spellStart"/>
      <w:r w:rsidRPr="00711CD7">
        <w:t>k</w:t>
      </w:r>
      <w:r w:rsidRPr="00711CD7">
        <w:rPr>
          <w:vertAlign w:val="superscript"/>
        </w:rPr>
        <w:t>+</w:t>
      </w:r>
      <w:r w:rsidRPr="00711CD7">
        <w:rPr>
          <w:vertAlign w:val="subscript"/>
        </w:rPr>
        <w:t>nuc</w:t>
      </w:r>
      <w:proofErr w:type="spellEnd"/>
      <w:r w:rsidRPr="00711CD7">
        <w:t xml:space="preserve"> were </w:t>
      </w:r>
      <w:r>
        <w:t>chosen to be</w:t>
      </w:r>
      <w:r w:rsidRPr="00711CD7">
        <w:t xml:space="preserve"> 10, 50 or 80% of </w:t>
      </w:r>
      <w:proofErr w:type="spellStart"/>
      <w:r w:rsidRPr="00711CD7">
        <w:t>k</w:t>
      </w:r>
      <w:r w:rsidRPr="00711CD7">
        <w:rPr>
          <w:vertAlign w:val="superscript"/>
        </w:rPr>
        <w:t>+</w:t>
      </w:r>
      <w:r w:rsidRPr="00711CD7">
        <w:rPr>
          <w:vertAlign w:val="subscript"/>
        </w:rPr>
        <w:t>poly</w:t>
      </w:r>
      <w:proofErr w:type="spellEnd"/>
      <w:r w:rsidRPr="00711CD7">
        <w:t xml:space="preserve"> (A). The dissociation rates during nucleation k</w:t>
      </w:r>
      <w:r w:rsidRPr="00711CD7">
        <w:rPr>
          <w:vertAlign w:val="superscript"/>
        </w:rPr>
        <w:t>-</w:t>
      </w:r>
      <w:proofErr w:type="spellStart"/>
      <w:r w:rsidRPr="00711CD7">
        <w:rPr>
          <w:vertAlign w:val="subscript"/>
        </w:rPr>
        <w:t>nuc</w:t>
      </w:r>
      <w:proofErr w:type="spellEnd"/>
      <w:r w:rsidRPr="00711CD7">
        <w:t xml:space="preserve"> were a factor of 10, 5 or 2 of k</w:t>
      </w:r>
      <w:r w:rsidRPr="00711CD7">
        <w:rPr>
          <w:vertAlign w:val="superscript"/>
        </w:rPr>
        <w:t>-</w:t>
      </w:r>
      <w:r w:rsidRPr="00711CD7">
        <w:rPr>
          <w:vertAlign w:val="subscript"/>
        </w:rPr>
        <w:t>poly</w:t>
      </w:r>
      <w:r w:rsidRPr="00711CD7">
        <w:t xml:space="preserve"> (B). </w:t>
      </w:r>
      <w:r>
        <w:t>(</w:t>
      </w:r>
      <w:r w:rsidRPr="00711CD7">
        <w:t>C</w:t>
      </w:r>
      <w:r>
        <w:t>):</w:t>
      </w:r>
      <w:r w:rsidRPr="00FA19E3">
        <w:t xml:space="preserve"> </w:t>
      </w:r>
      <w:r>
        <w:t xml:space="preserve">Visitation analysis </w:t>
      </w:r>
      <w:r w:rsidRPr="00FA19E3">
        <w:t>on simulations varying the SNR. A nucleation me</w:t>
      </w:r>
      <w:r>
        <w:t xml:space="preserve">chanism can be detected until a </w:t>
      </w:r>
      <w:r w:rsidRPr="00FA19E3">
        <w:t xml:space="preserve">SNR of 0.1. </w:t>
      </w:r>
      <w:r>
        <w:t>(</w:t>
      </w:r>
      <w:r w:rsidRPr="00FA19E3">
        <w:t>D</w:t>
      </w:r>
      <w:r>
        <w:t>)</w:t>
      </w:r>
      <w:r w:rsidRPr="00FA19E3">
        <w:t>: Visitation analysis on simulations</w:t>
      </w:r>
      <w:r>
        <w:t xml:space="preserve"> varying the sampling time. The </w:t>
      </w:r>
      <w:r w:rsidRPr="00FA19E3">
        <w:t xml:space="preserve">visitation analysis is quite robust towards slow measurement rates. </w:t>
      </w:r>
      <w:r>
        <w:t>(</w:t>
      </w:r>
      <w:r w:rsidRPr="00FA19E3">
        <w:t>E</w:t>
      </w:r>
      <w:r>
        <w:t>)</w:t>
      </w:r>
      <w:r w:rsidRPr="00FA19E3">
        <w:t>: Visitation</w:t>
      </w:r>
      <w:r>
        <w:t xml:space="preserve"> </w:t>
      </w:r>
      <w:r w:rsidRPr="00FA19E3">
        <w:t>analysis on simulations using monomers with different degrees of stochastic labeling.</w:t>
      </w:r>
      <w:r>
        <w:t xml:space="preserve"> </w:t>
      </w:r>
      <w:r w:rsidRPr="00FA19E3">
        <w:t xml:space="preserve">The </w:t>
      </w:r>
      <w:r>
        <w:t xml:space="preserve">stochastic </w:t>
      </w:r>
      <w:r w:rsidRPr="00FA19E3">
        <w:t xml:space="preserve">labeling efficiency (LE) should be slightly below </w:t>
      </w:r>
      <w:r>
        <w:t xml:space="preserve">100% for the correct estimation </w:t>
      </w:r>
      <w:r w:rsidRPr="00FA19E3">
        <w:t xml:space="preserve">of the nucleus size. </w:t>
      </w:r>
      <w:r>
        <w:t>(</w:t>
      </w:r>
      <w:r w:rsidRPr="00FA19E3">
        <w:t>F</w:t>
      </w:r>
      <w:r>
        <w:t>)</w:t>
      </w:r>
      <w:r w:rsidRPr="00FA19E3">
        <w:t>: Visitation</w:t>
      </w:r>
      <w:r>
        <w:t xml:space="preserve"> </w:t>
      </w:r>
      <w:r w:rsidRPr="00FA19E3">
        <w:t>analysis of simulatio</w:t>
      </w:r>
      <w:r>
        <w:t xml:space="preserve">ns considering the influence of </w:t>
      </w:r>
      <w:r w:rsidRPr="00FA19E3">
        <w:t>photobleaching.</w:t>
      </w:r>
      <w:r>
        <w:t xml:space="preserve"> </w:t>
      </w:r>
      <w:r w:rsidRPr="00A81D67">
        <w:t>T</w:t>
      </w:r>
      <w:r>
        <w:t xml:space="preserve">he early steps during nucleation can be resolved even at a photobleaching rate of 3% of the association rate. </w:t>
      </w:r>
    </w:p>
    <w:p w:rsidR="00601577" w:rsidRDefault="00601577" w:rsidP="00601577">
      <w:pPr>
        <w:keepNext/>
        <w:pageBreakBefore/>
        <w:jc w:val="center"/>
      </w:pPr>
      <w:r>
        <w:rPr>
          <w:noProof/>
          <w:lang w:eastAsia="de-DE"/>
        </w:rPr>
        <w:lastRenderedPageBreak/>
        <w:drawing>
          <wp:inline distT="0" distB="0" distL="0" distR="0" wp14:anchorId="44383229" wp14:editId="3AE91D58">
            <wp:extent cx="5761238" cy="6294474"/>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upp_dwelltimes_diffrates_SNR_dt_LE.png"/>
                    <pic:cNvPicPr/>
                  </pic:nvPicPr>
                  <pic:blipFill>
                    <a:blip r:embed="rId13">
                      <a:extLst>
                        <a:ext uri="{28A0092B-C50C-407E-A947-70E740481C1C}">
                          <a14:useLocalDpi xmlns:a14="http://schemas.microsoft.com/office/drawing/2010/main" val="0"/>
                        </a:ext>
                      </a:extLst>
                    </a:blip>
                    <a:stretch>
                      <a:fillRect/>
                    </a:stretch>
                  </pic:blipFill>
                  <pic:spPr>
                    <a:xfrm>
                      <a:off x="0" y="0"/>
                      <a:ext cx="5792771" cy="6328925"/>
                    </a:xfrm>
                    <a:prstGeom prst="rect">
                      <a:avLst/>
                    </a:prstGeom>
                  </pic:spPr>
                </pic:pic>
              </a:graphicData>
            </a:graphic>
          </wp:inline>
        </w:drawing>
      </w:r>
    </w:p>
    <w:p w:rsidR="00601577" w:rsidRDefault="00601577" w:rsidP="00747B36">
      <w:pPr>
        <w:pStyle w:val="Caption"/>
      </w:pPr>
      <w:bookmarkStart w:id="11" w:name="_Ref524092264"/>
      <w:bookmarkStart w:id="12" w:name="_Ref4143168"/>
      <w:r w:rsidRPr="00711CD7">
        <w:t>Figure S</w:t>
      </w:r>
      <w:r w:rsidRPr="00711CD7">
        <w:rPr>
          <w:noProof/>
        </w:rPr>
        <w:fldChar w:fldCharType="begin"/>
      </w:r>
      <w:r w:rsidRPr="00711CD7">
        <w:rPr>
          <w:noProof/>
        </w:rPr>
        <w:instrText xml:space="preserve"> SEQ Figure_S \* ARABIC </w:instrText>
      </w:r>
      <w:r w:rsidRPr="00711CD7">
        <w:rPr>
          <w:noProof/>
        </w:rPr>
        <w:fldChar w:fldCharType="separate"/>
      </w:r>
      <w:r>
        <w:rPr>
          <w:noProof/>
        </w:rPr>
        <w:t>9</w:t>
      </w:r>
      <w:r w:rsidRPr="00711CD7">
        <w:rPr>
          <w:noProof/>
        </w:rPr>
        <w:fldChar w:fldCharType="end"/>
      </w:r>
      <w:bookmarkEnd w:id="11"/>
      <w:r w:rsidRPr="00711CD7">
        <w:t xml:space="preserve">: </w:t>
      </w:r>
      <w:bookmarkEnd w:id="12"/>
      <w:r>
        <w:t xml:space="preserve">Robustness of the dwell-time analysis. For all simulations, a nucleus or conversion step at four </w:t>
      </w:r>
      <w:proofErr w:type="spellStart"/>
      <w:r>
        <w:t>mononomers</w:t>
      </w:r>
      <w:proofErr w:type="spellEnd"/>
      <w:r>
        <w:t xml:space="preserve"> was chosen. (A, B): Extracted on-rates for simulations varying the difference between nucleation and polymerization kinetics. The association rates </w:t>
      </w:r>
      <w:proofErr w:type="spellStart"/>
      <w:r>
        <w:t>k</w:t>
      </w:r>
      <w:r w:rsidRPr="00CA0529">
        <w:rPr>
          <w:vertAlign w:val="superscript"/>
        </w:rPr>
        <w:t>+</w:t>
      </w:r>
      <w:r w:rsidRPr="00CA0529">
        <w:rPr>
          <w:vertAlign w:val="subscript"/>
        </w:rPr>
        <w:t>nuc</w:t>
      </w:r>
      <w:proofErr w:type="spellEnd"/>
      <w:r>
        <w:t xml:space="preserve"> and </w:t>
      </w:r>
      <w:proofErr w:type="spellStart"/>
      <w:r>
        <w:t>k</w:t>
      </w:r>
      <w:r w:rsidRPr="00CA0529">
        <w:rPr>
          <w:vertAlign w:val="superscript"/>
        </w:rPr>
        <w:t>+</w:t>
      </w:r>
      <w:r w:rsidRPr="00CA0529">
        <w:rPr>
          <w:vertAlign w:val="subscript"/>
        </w:rPr>
        <w:t>conv</w:t>
      </w:r>
      <w:proofErr w:type="spellEnd"/>
      <w:r>
        <w:t xml:space="preserve"> were chosen to be 10, 50 or 80% of </w:t>
      </w:r>
      <w:proofErr w:type="spellStart"/>
      <w:r>
        <w:t>k</w:t>
      </w:r>
      <w:r w:rsidRPr="00CA0529">
        <w:rPr>
          <w:vertAlign w:val="superscript"/>
        </w:rPr>
        <w:t>+</w:t>
      </w:r>
      <w:r w:rsidRPr="00CA0529">
        <w:rPr>
          <w:vertAlign w:val="subscript"/>
        </w:rPr>
        <w:t>poly</w:t>
      </w:r>
      <w:proofErr w:type="spellEnd"/>
      <w:r>
        <w:t xml:space="preserve">. (C, D): Extracted on-rates for simulations applying different SNRs. A nucleation mechanism (C) or a slow conversion step (D) can be detected until a SNR of 1. (E): With low SNR, fast steps are not detected and the dwell-time distribution does not follow an exponential decay (red line). (F, G): Extracted on-rates for simulations varying the sampling time. To estimate association rates, the measurement rates should be at least 10x faster than the fastest rate. (H): By using a correction for fast subsequent steps that are detected as single steps </w:t>
      </w:r>
      <w:r>
        <w:lastRenderedPageBreak/>
        <w:t>with larger amplitude, the correct conversion step can be determined despite a measurement rate of 10 s</w:t>
      </w:r>
      <w:r w:rsidRPr="008B781B">
        <w:rPr>
          <w:vertAlign w:val="superscript"/>
        </w:rPr>
        <w:t>-1</w:t>
      </w:r>
      <w:r>
        <w:t xml:space="preserve"> or kinetics rates 10x slower than the sampling rate. (I, J): Extracted on-rates for simulations of monomers with different degrees of labeling. A high labeling efficiency (LE) is</w:t>
      </w:r>
      <w:r w:rsidR="00747B36">
        <w:t xml:space="preserve"> </w:t>
      </w:r>
      <w:r>
        <w:t>needed for correct interpretation of the dwell-time analysis. For stochastic labeling, the LE should ideally be more than 100%.</w:t>
      </w:r>
    </w:p>
    <w:p w:rsidR="00FC4DB8" w:rsidRDefault="00FC4DB8" w:rsidP="00747B36">
      <w:pPr>
        <w:pStyle w:val="Caption"/>
      </w:pPr>
    </w:p>
    <w:p w:rsidR="00F565A9" w:rsidRDefault="00F565A9" w:rsidP="00747B36">
      <w:pPr>
        <w:pStyle w:val="Caption"/>
      </w:pPr>
    </w:p>
    <w:p w:rsidR="00747B36" w:rsidRDefault="00747B36" w:rsidP="00747B36">
      <w:pPr>
        <w:pStyle w:val="Caption"/>
      </w:pPr>
    </w:p>
    <w:p w:rsidR="00747B36" w:rsidRPr="00747B36" w:rsidRDefault="00747B36" w:rsidP="00747B36">
      <w:pPr>
        <w:rPr>
          <w:lang w:val="en-US"/>
        </w:rPr>
      </w:pPr>
      <w:bookmarkStart w:id="13" w:name="_GoBack"/>
      <w:bookmarkEnd w:id="13"/>
    </w:p>
    <w:p w:rsidR="00747B36" w:rsidRDefault="00747B36" w:rsidP="00747B36">
      <w:pPr>
        <w:pStyle w:val="Caption"/>
      </w:pPr>
    </w:p>
    <w:p w:rsidR="00601577" w:rsidRDefault="00601577" w:rsidP="00747B36">
      <w:pPr>
        <w:pStyle w:val="Caption"/>
      </w:pPr>
      <w:r>
        <w:rPr>
          <w:noProof/>
          <w:lang w:eastAsia="de-DE"/>
        </w:rPr>
        <w:drawing>
          <wp:inline distT="0" distB="0" distL="0" distR="0" wp14:anchorId="1C1799A1" wp14:editId="506D751A">
            <wp:extent cx="5855506" cy="5690372"/>
            <wp:effectExtent l="0" t="0" r="0" b="571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upp_labelingspecific_vs_stochatic.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55506" cy="5690372"/>
                    </a:xfrm>
                    <a:prstGeom prst="rect">
                      <a:avLst/>
                    </a:prstGeom>
                  </pic:spPr>
                </pic:pic>
              </a:graphicData>
            </a:graphic>
          </wp:inline>
        </w:drawing>
      </w:r>
    </w:p>
    <w:p w:rsidR="00601577" w:rsidRPr="00102315" w:rsidRDefault="00601577" w:rsidP="00747B36">
      <w:pPr>
        <w:pStyle w:val="Caption"/>
      </w:pPr>
      <w:bookmarkStart w:id="14" w:name="_Ref44066404"/>
      <w:r>
        <w:t>Figure S</w:t>
      </w:r>
      <w:r>
        <w:fldChar w:fldCharType="begin"/>
      </w:r>
      <w:r>
        <w:instrText xml:space="preserve"> SEQ Figure_S \* ARABIC </w:instrText>
      </w:r>
      <w:r>
        <w:fldChar w:fldCharType="separate"/>
      </w:r>
      <w:r>
        <w:rPr>
          <w:noProof/>
        </w:rPr>
        <w:t>10</w:t>
      </w:r>
      <w:r>
        <w:rPr>
          <w:noProof/>
        </w:rPr>
        <w:fldChar w:fldCharType="end"/>
      </w:r>
      <w:bookmarkEnd w:id="14"/>
      <w:r>
        <w:t xml:space="preserve">: A comparison of the effect of stochastic and specific labeling efficiencies on the different analysis methods. (A-F): A dwell time analysis (A, D), average-rate analysis (B, E) and a visitation analysis (C, F) for simulations of a nucleation mechanism assuming incomplete specific labeling (A-C) or different degrees of stochastic labeling (D-F). (G-M): A dwell time analysis (G, K), average-rate analysis (H, L) and a visitation analysis (I, M) for simulations of a conversion mechanism assuming incomplete specific </w:t>
      </w:r>
      <w:r w:rsidRPr="00102315">
        <w:t xml:space="preserve">labeling (G-I) or different degrees of stochastic labeling (K-M). For specific labeling, there is either 1 or 0 labels per monomer while, for stochastic labeling, multiple labels per monomer are possible. The ideal case, i.e. specific labeling with 100% labeling efficiency, is indicated in black (A-C and G-I). For a nucleation mechanism, a wide range of labeling efficiencies can be tolerated for all analysis methods. However, the dwell-time analysis extracts the correct polymerization rates only for labeling efficiencies of 100% for specific labeling </w:t>
      </w:r>
      <w:r w:rsidRPr="00102315">
        <w:lastRenderedPageBreak/>
        <w:t>(A) or more than 100% for stochastic labeling (D). For specific labeling with a labeling efficiency of less th</w:t>
      </w:r>
      <w:r w:rsidR="00F565A9">
        <w:t>a</w:t>
      </w:r>
      <w:r w:rsidRPr="00102315">
        <w:t>n 100%, the polymerization rate can be estimated since it is given by the extracted polymerization rate multiplied by the labeling efficiency; LE*</w:t>
      </w:r>
      <w:proofErr w:type="spellStart"/>
      <w:r w:rsidRPr="00102315">
        <w:t>k</w:t>
      </w:r>
      <w:r w:rsidRPr="00102315">
        <w:rPr>
          <w:vertAlign w:val="subscript"/>
        </w:rPr>
        <w:t>poly</w:t>
      </w:r>
      <w:proofErr w:type="spellEnd"/>
      <w:r w:rsidRPr="00102315">
        <w:t xml:space="preserve"> (panel A)”. For the determination of the correct conversion size, the labeling efficiency should be at 100% for the average rate analysis and the visitation analysis. For the dwell-time analysis, labeling efficiencies at or above 100% are needed. </w:t>
      </w:r>
    </w:p>
    <w:p w:rsidR="00601577" w:rsidRPr="00102315" w:rsidRDefault="00601577" w:rsidP="00601577">
      <w:pPr>
        <w:rPr>
          <w:lang w:val="en-US"/>
        </w:rPr>
      </w:pPr>
    </w:p>
    <w:p w:rsidR="00601577" w:rsidRDefault="00601577" w:rsidP="00601577">
      <w:pPr>
        <w:keepNext/>
        <w:pageBreakBefore/>
        <w:jc w:val="center"/>
      </w:pPr>
      <w:r>
        <w:rPr>
          <w:rFonts w:ascii="Times New Roman" w:hAnsi="Times New Roman" w:cs="Times New Roman"/>
          <w:noProof/>
          <w:lang w:eastAsia="de-DE"/>
        </w:rPr>
        <w:lastRenderedPageBreak/>
        <w:drawing>
          <wp:inline distT="0" distB="0" distL="0" distR="0" wp14:anchorId="3F7CDF90" wp14:editId="349969A9">
            <wp:extent cx="2190750" cy="1581150"/>
            <wp:effectExtent l="0" t="0" r="0" b="0"/>
            <wp:docPr id="21" name="Bild 4" descr="Supp_bleach_phalloidin_actincy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upp_bleach_phalloidin_actincy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90750" cy="1581150"/>
                    </a:xfrm>
                    <a:prstGeom prst="rect">
                      <a:avLst/>
                    </a:prstGeom>
                    <a:noFill/>
                    <a:ln>
                      <a:noFill/>
                    </a:ln>
                  </pic:spPr>
                </pic:pic>
              </a:graphicData>
            </a:graphic>
          </wp:inline>
        </w:drawing>
      </w:r>
    </w:p>
    <w:p w:rsidR="00601577" w:rsidRPr="00F95A5A" w:rsidRDefault="00601577" w:rsidP="00747B36">
      <w:pPr>
        <w:pStyle w:val="Caption"/>
      </w:pPr>
      <w:bookmarkStart w:id="15" w:name="_Ref56498416"/>
      <w:r>
        <w:t>Figure S</w:t>
      </w:r>
      <w:r>
        <w:fldChar w:fldCharType="begin"/>
      </w:r>
      <w:r>
        <w:instrText xml:space="preserve"> SEQ Figure_S \* ARABIC </w:instrText>
      </w:r>
      <w:r>
        <w:fldChar w:fldCharType="separate"/>
      </w:r>
      <w:r>
        <w:rPr>
          <w:noProof/>
        </w:rPr>
        <w:t>11</w:t>
      </w:r>
      <w:r>
        <w:rPr>
          <w:noProof/>
        </w:rPr>
        <w:fldChar w:fldCharType="end"/>
      </w:r>
      <w:bookmarkEnd w:id="15"/>
      <w:r>
        <w:t xml:space="preserve">: </w:t>
      </w:r>
      <w:r w:rsidRPr="00F95A5A">
        <w:t>Decay of the average intensity of actin-</w:t>
      </w:r>
      <w:r>
        <w:t>C</w:t>
      </w:r>
      <w:r w:rsidRPr="00F95A5A">
        <w:t xml:space="preserve">y5 stabilized with </w:t>
      </w:r>
      <w:proofErr w:type="spellStart"/>
      <w:r w:rsidRPr="00F95A5A">
        <w:t>phalloidin</w:t>
      </w:r>
      <w:proofErr w:type="spellEnd"/>
      <w:r w:rsidRPr="00F95A5A">
        <w:t xml:space="preserve"> (see materials and methods for details). A single exponential fit (grey) does not describe the data, but a double-exponential decay (red) does. The decay constants are 0.025 s</w:t>
      </w:r>
      <w:r w:rsidRPr="00F95A5A">
        <w:rPr>
          <w:vertAlign w:val="superscript"/>
        </w:rPr>
        <w:t>-1</w:t>
      </w:r>
      <w:r w:rsidRPr="00F95A5A">
        <w:t xml:space="preserve"> and 0.0015 s</w:t>
      </w:r>
      <w:r w:rsidRPr="00F95A5A">
        <w:rPr>
          <w:vertAlign w:val="superscript"/>
        </w:rPr>
        <w:t>-1</w:t>
      </w:r>
      <w:r w:rsidRPr="00F95A5A">
        <w:t>.</w:t>
      </w:r>
    </w:p>
    <w:p w:rsidR="00601577" w:rsidRPr="00B742BB" w:rsidRDefault="00601577" w:rsidP="00601577">
      <w:pPr>
        <w:rPr>
          <w:lang w:val="en-US"/>
        </w:rPr>
      </w:pPr>
    </w:p>
    <w:p w:rsidR="00601577" w:rsidRDefault="00601577" w:rsidP="00601577">
      <w:pPr>
        <w:keepNext/>
        <w:pageBreakBefore/>
        <w:jc w:val="center"/>
      </w:pPr>
      <w:r>
        <w:rPr>
          <w:noProof/>
          <w:lang w:eastAsia="de-DE"/>
        </w:rPr>
        <w:lastRenderedPageBreak/>
        <w:drawing>
          <wp:inline distT="0" distB="0" distL="0" distR="0" wp14:anchorId="7C7743C5" wp14:editId="066FD26F">
            <wp:extent cx="5943600" cy="307467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5_bleaching.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074670"/>
                    </a:xfrm>
                    <a:prstGeom prst="rect">
                      <a:avLst/>
                    </a:prstGeom>
                  </pic:spPr>
                </pic:pic>
              </a:graphicData>
            </a:graphic>
          </wp:inline>
        </w:drawing>
      </w:r>
    </w:p>
    <w:p w:rsidR="00601577" w:rsidRDefault="00601577" w:rsidP="00747B36">
      <w:pPr>
        <w:pStyle w:val="Caption"/>
      </w:pPr>
      <w:bookmarkStart w:id="16" w:name="_Ref524092551"/>
      <w:r>
        <w:t>Figure S</w:t>
      </w:r>
      <w:r>
        <w:rPr>
          <w:noProof/>
        </w:rPr>
        <w:fldChar w:fldCharType="begin"/>
      </w:r>
      <w:r>
        <w:rPr>
          <w:noProof/>
        </w:rPr>
        <w:instrText xml:space="preserve"> SEQ Figure_S \* ARABIC </w:instrText>
      </w:r>
      <w:r>
        <w:rPr>
          <w:noProof/>
        </w:rPr>
        <w:fldChar w:fldCharType="separate"/>
      </w:r>
      <w:r>
        <w:rPr>
          <w:noProof/>
        </w:rPr>
        <w:t>12</w:t>
      </w:r>
      <w:r>
        <w:rPr>
          <w:noProof/>
        </w:rPr>
        <w:fldChar w:fldCharType="end"/>
      </w:r>
      <w:bookmarkEnd w:id="16"/>
      <w:r>
        <w:t xml:space="preserve">: Using photobleaching as a tool to estimate the nucleation or conversion step. Dwell-time analysis on a simulation assuming a nucleation mechanism (A-C) or a conversion mechanism (D-F) with </w:t>
      </w:r>
      <w:proofErr w:type="spellStart"/>
      <w:r>
        <w:t>k</w:t>
      </w:r>
      <w:r w:rsidRPr="002B724A">
        <w:rPr>
          <w:vertAlign w:val="superscript"/>
        </w:rPr>
        <w:t>+</w:t>
      </w:r>
      <w:r w:rsidRPr="002B724A">
        <w:rPr>
          <w:vertAlign w:val="subscript"/>
        </w:rPr>
        <w:t>nuc</w:t>
      </w:r>
      <w:proofErr w:type="spellEnd"/>
      <w:r>
        <w:t xml:space="preserve"> = 0.1 </w:t>
      </w:r>
      <w:proofErr w:type="spellStart"/>
      <w:r>
        <w:t>k</w:t>
      </w:r>
      <w:r w:rsidRPr="002B724A">
        <w:rPr>
          <w:vertAlign w:val="superscript"/>
        </w:rPr>
        <w:t>+</w:t>
      </w:r>
      <w:r w:rsidRPr="002B724A">
        <w:rPr>
          <w:vertAlign w:val="subscript"/>
        </w:rPr>
        <w:t>poly</w:t>
      </w:r>
      <w:proofErr w:type="spellEnd"/>
      <w:r>
        <w:t xml:space="preserve"> and no change in the off-rates. Photobleaching with different photobleaching rates has been applied to the simulations. (A, B): The extracted association rates are plotted and the nucleation or conversion step at 4 monomers is observable. (B, E): The extracted dissociation rates are plotted for the same simulated processes as in (A) and (D). The apparent dissociation rates at the nucleus or conversion size are affected most by different photobleaching rates. (C, F): The ratio between the apparent dissociation rates for the same simulation under the influence of different photobleaching rates are plotted for each step. The difference between the apparent dissociation rates is the highest at the nucleation or conversion size.</w:t>
      </w: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Pr="002B724A" w:rsidRDefault="00601577" w:rsidP="00601577">
      <w:pPr>
        <w:rPr>
          <w:lang w:val="en-US"/>
        </w:rPr>
      </w:pPr>
    </w:p>
    <w:p w:rsidR="00601577" w:rsidRDefault="00601577" w:rsidP="00601577">
      <w:pPr>
        <w:keepNext/>
        <w:jc w:val="center"/>
      </w:pPr>
      <w:r w:rsidRPr="000714C2">
        <w:rPr>
          <w:noProof/>
          <w:lang w:eastAsia="de-DE"/>
        </w:rPr>
        <w:lastRenderedPageBreak/>
        <w:drawing>
          <wp:inline distT="0" distB="0" distL="0" distR="0" wp14:anchorId="0AE8952A" wp14:editId="17AF1F83">
            <wp:extent cx="5035550" cy="2019099"/>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OneDrive\Desktop\Thesis\Figures\proofofprinciple\Length_histogram_atto488_cy5.png"/>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035550" cy="2019099"/>
                    </a:xfrm>
                    <a:prstGeom prst="rect">
                      <a:avLst/>
                    </a:prstGeom>
                    <a:noFill/>
                    <a:ln>
                      <a:noFill/>
                    </a:ln>
                  </pic:spPr>
                </pic:pic>
              </a:graphicData>
            </a:graphic>
          </wp:inline>
        </w:drawing>
      </w:r>
    </w:p>
    <w:p w:rsidR="00601577" w:rsidRPr="00102315" w:rsidRDefault="00601577" w:rsidP="00747B36">
      <w:pPr>
        <w:pStyle w:val="Caption"/>
      </w:pPr>
      <w:bookmarkStart w:id="17" w:name="_Ref75084538"/>
      <w:r w:rsidRPr="00102315">
        <w:t>Figure S</w:t>
      </w:r>
      <w:r w:rsidRPr="00102315">
        <w:fldChar w:fldCharType="begin"/>
      </w:r>
      <w:r w:rsidRPr="00102315">
        <w:instrText xml:space="preserve"> SEQ Figure_S \* ARABIC </w:instrText>
      </w:r>
      <w:r w:rsidRPr="00102315">
        <w:fldChar w:fldCharType="separate"/>
      </w:r>
      <w:r w:rsidRPr="00102315">
        <w:rPr>
          <w:noProof/>
        </w:rPr>
        <w:t>13</w:t>
      </w:r>
      <w:r w:rsidRPr="00102315">
        <w:rPr>
          <w:noProof/>
        </w:rPr>
        <w:fldChar w:fldCharType="end"/>
      </w:r>
      <w:bookmarkEnd w:id="17"/>
      <w:r w:rsidRPr="00102315">
        <w:t xml:space="preserve">: Functionality of Actin-Cy5. Using TIRF microscopy, we tested the functionality of labeled Actin by measuring the filament length distribution (see materials and methods for details). A: Filament length distribution 250 s after induction of polymerization of 30% labeled actin-atto488. We have previously shown that Actin-atto488 is functional </w:t>
      </w:r>
      <w:r w:rsidRPr="00102315">
        <w:fldChar w:fldCharType="begin">
          <w:fldData xml:space="preserve">PEVuZE5vdGU+PENpdGU+PEF1dGhvcj5Ib3llcjwvQXV0aG9yPjxZZWFyPjIwMjE8L1llYXI+PFJl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</w:fldData>
        </w:fldChar>
      </w:r>
      <w:r w:rsidRPr="00102315">
        <w:instrText xml:space="preserve"> ADDIN EN.CITE </w:instrText>
      </w:r>
      <w:r w:rsidRPr="00102315">
        <w:fldChar w:fldCharType="begin">
          <w:fldData xml:space="preserve">PEVuZE5vdGU+PENpdGU+PEF1dGhvcj5Ib3llcjwvQXV0aG9yPjxZZWFyPjIwMjE8L1llYXI+PFJl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</w:fldData>
        </w:fldChar>
      </w:r>
      <w:r w:rsidRPr="00102315">
        <w:instrText xml:space="preserve"> ADDIN EN.CITE.DATA </w:instrText>
      </w:r>
      <w:r w:rsidRPr="00102315">
        <w:fldChar w:fldCharType="end"/>
      </w:r>
      <w:r w:rsidRPr="00102315">
        <w:fldChar w:fldCharType="separate"/>
      </w:r>
      <w:r w:rsidRPr="00102315">
        <w:rPr>
          <w:noProof/>
        </w:rPr>
        <w:t>(</w:t>
      </w:r>
      <w:r w:rsidRPr="00102315">
        <w:rPr>
          <w:i/>
          <w:noProof/>
        </w:rPr>
        <w:t>6, 35</w:t>
      </w:r>
      <w:r w:rsidRPr="00102315">
        <w:rPr>
          <w:noProof/>
        </w:rPr>
        <w:t>)</w:t>
      </w:r>
      <w:r w:rsidRPr="00102315">
        <w:fldChar w:fldCharType="end"/>
      </w:r>
      <w:r w:rsidRPr="00102315">
        <w:t>. B: The filament length distribution of actin-Cy5 250 s after induction of polymerization. Actin-Cy5 shows a similar length distribution as actin-atto488, indicating that labeling with Cy5 also does not impair the functionality of actin.</w:t>
      </w:r>
    </w:p>
    <w:p w:rsidR="00601577" w:rsidRPr="00102315"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Default="00601577" w:rsidP="00601577">
      <w:pPr>
        <w:rPr>
          <w:lang w:val="en-US"/>
        </w:rPr>
      </w:pPr>
    </w:p>
    <w:p w:rsidR="00601577" w:rsidRPr="000714C2" w:rsidRDefault="00601577" w:rsidP="00601577">
      <w:pPr>
        <w:keepNext/>
        <w:jc w:val="center"/>
        <w:rPr>
          <w:lang w:val="en-US"/>
        </w:rPr>
      </w:pPr>
    </w:p>
    <w:p w:rsidR="00601577" w:rsidRDefault="00601577" w:rsidP="00601577">
      <w:pPr>
        <w:keepNext/>
        <w:jc w:val="center"/>
      </w:pPr>
      <w:r>
        <w:rPr>
          <w:rFonts w:ascii="Times New Roman" w:hAnsi="Times New Roman" w:cs="Times New Roman"/>
          <w:noProof/>
          <w:lang w:eastAsia="de-DE"/>
        </w:rPr>
        <w:drawing>
          <wp:inline distT="0" distB="0" distL="0" distR="0" wp14:anchorId="3458A15C" wp14:editId="473305D0">
            <wp:extent cx="4559300" cy="2185799"/>
            <wp:effectExtent l="0" t="0" r="0" b="5080"/>
            <wp:docPr id="29"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p_Cappu_functionality"/>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612230" cy="2211174"/>
                    </a:xfrm>
                    <a:prstGeom prst="rect">
                      <a:avLst/>
                    </a:prstGeom>
                    <a:noFill/>
                    <a:ln>
                      <a:noFill/>
                    </a:ln>
                  </pic:spPr>
                </pic:pic>
              </a:graphicData>
            </a:graphic>
          </wp:inline>
        </w:drawing>
      </w:r>
    </w:p>
    <w:p w:rsidR="00601577" w:rsidRDefault="00601577" w:rsidP="00747B36">
      <w:pPr>
        <w:pStyle w:val="Caption"/>
      </w:pPr>
      <w:bookmarkStart w:id="18" w:name="_Ref56429330"/>
      <w:r>
        <w:t>Figure S</w:t>
      </w:r>
      <w:r>
        <w:fldChar w:fldCharType="begin"/>
      </w:r>
      <w:r>
        <w:instrText xml:space="preserve"> SEQ Figure_S \* ARABIC </w:instrText>
      </w:r>
      <w:r>
        <w:fldChar w:fldCharType="separate"/>
      </w:r>
      <w:r>
        <w:rPr>
          <w:noProof/>
        </w:rPr>
        <w:t>14</w:t>
      </w:r>
      <w:r>
        <w:rPr>
          <w:noProof/>
        </w:rPr>
        <w:fldChar w:fldCharType="end"/>
      </w:r>
      <w:bookmarkEnd w:id="18"/>
      <w:r>
        <w:t xml:space="preserve">: Biotinylated Cappuccino and dmABCD1 is functional as monitored by a </w:t>
      </w:r>
      <w:proofErr w:type="spellStart"/>
      <w:r>
        <w:t>pyrene</w:t>
      </w:r>
      <w:proofErr w:type="spellEnd"/>
      <w:r>
        <w:t xml:space="preserve"> assay. A: The nucleation rate of actin alone (black) is enhanced by Cappuccino (dark green, red and blue) and biotinylated Cappuccino (light green, red and blue) in a concentration-dependent manner. B: The nucleation rate of actin alone (black) is enhanced by 0.2 (green) and 2 µM (red) dmABCD1.</w:t>
      </w:r>
    </w:p>
    <w:p w:rsidR="00601577" w:rsidRDefault="00601577" w:rsidP="00601577">
      <w:pPr>
        <w:rPr>
          <w:lang w:val="en-US"/>
        </w:rPr>
      </w:pPr>
    </w:p>
    <w:p w:rsidR="00601577" w:rsidRPr="00F95A5A" w:rsidRDefault="00601577" w:rsidP="00601577">
      <w:pPr>
        <w:keepNext/>
        <w:rPr>
          <w:lang w:val="en-US"/>
        </w:rPr>
      </w:pPr>
    </w:p>
    <w:p w:rsidR="00601577" w:rsidRDefault="00601577" w:rsidP="00601577">
      <w:pPr>
        <w:keepNext/>
        <w:pageBreakBefore/>
        <w:jc w:val="center"/>
      </w:pPr>
      <w:r>
        <w:rPr>
          <w:rFonts w:ascii="Times New Roman" w:hAnsi="Times New Roman" w:cs="Times New Roman"/>
          <w:noProof/>
          <w:lang w:eastAsia="de-DE"/>
        </w:rPr>
        <w:lastRenderedPageBreak/>
        <w:drawing>
          <wp:inline distT="0" distB="0" distL="0" distR="0" wp14:anchorId="0B72C9AB" wp14:editId="4DAF5513">
            <wp:extent cx="3371396" cy="1706883"/>
            <wp:effectExtent l="0" t="0" r="635" b="762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upp_pooledrates_actincy5_cappu_gelsolin_1uM.png"/>
                    <pic:cNvPicPr/>
                  </pic:nvPicPr>
                  <pic:blipFill>
                    <a:blip r:embed="rId19">
                      <a:extLst>
                        <a:ext uri="{28A0092B-C50C-407E-A947-70E740481C1C}">
                          <a14:useLocalDpi xmlns:a14="http://schemas.microsoft.com/office/drawing/2010/main" val="0"/>
                        </a:ext>
                      </a:extLst>
                    </a:blip>
                    <a:stretch>
                      <a:fillRect/>
                    </a:stretch>
                  </pic:blipFill>
                  <pic:spPr bwMode="auto">
                    <a:xfrm>
                      <a:off x="0" y="0"/>
                      <a:ext cx="3371396" cy="1706883"/>
                    </a:xfrm>
                    <a:prstGeom prst="rect">
                      <a:avLst/>
                    </a:prstGeom>
                    <a:ln>
                      <a:noFill/>
                    </a:ln>
                    <a:extLst>
                      <a:ext uri="{53640926-AAD7-44D8-BBD7-CCE9431645EC}">
                        <a14:shadowObscured xmlns:a14="http://schemas.microsoft.com/office/drawing/2010/main"/>
                      </a:ext>
                    </a:extLst>
                  </pic:spPr>
                </pic:pic>
              </a:graphicData>
            </a:graphic>
          </wp:inline>
        </w:drawing>
      </w:r>
    </w:p>
    <w:p w:rsidR="00601577" w:rsidRPr="004220C6" w:rsidRDefault="00601577" w:rsidP="00747B36">
      <w:pPr>
        <w:pStyle w:val="Caption"/>
      </w:pPr>
      <w:bookmarkStart w:id="19" w:name="_Ref56497300"/>
      <w:bookmarkStart w:id="20" w:name="_Ref56776229"/>
      <w:r>
        <w:t>Figure S</w:t>
      </w:r>
      <w:r>
        <w:fldChar w:fldCharType="begin"/>
      </w:r>
      <w:r>
        <w:instrText xml:space="preserve"> SEQ Figure_S \* ARABIC </w:instrText>
      </w:r>
      <w:r>
        <w:fldChar w:fldCharType="separate"/>
      </w:r>
      <w:r>
        <w:rPr>
          <w:noProof/>
        </w:rPr>
        <w:t>15</w:t>
      </w:r>
      <w:r>
        <w:rPr>
          <w:noProof/>
        </w:rPr>
        <w:fldChar w:fldCharType="end"/>
      </w:r>
      <w:bookmarkEnd w:id="19"/>
      <w:r>
        <w:t xml:space="preserve">: </w:t>
      </w:r>
      <w:r w:rsidRPr="004220C6">
        <w:t xml:space="preserve">Waiting time distribution of </w:t>
      </w:r>
      <w:r>
        <w:t>C</w:t>
      </w:r>
      <w:r w:rsidRPr="004220C6">
        <w:t>appuccino-mediated growth with exponential fit (red) of all steps measured with (</w:t>
      </w:r>
      <w:r>
        <w:t>A</w:t>
      </w:r>
      <w:r w:rsidRPr="004220C6">
        <w:t xml:space="preserve">) </w:t>
      </w:r>
      <w:r>
        <w:t>5 Hz</w:t>
      </w:r>
      <w:r w:rsidRPr="004220C6">
        <w:t xml:space="preserve"> or (</w:t>
      </w:r>
      <w:r>
        <w:t>B)</w:t>
      </w:r>
      <w:r w:rsidRPr="004220C6">
        <w:t xml:space="preserve"> </w:t>
      </w:r>
      <w:r>
        <w:t>16.7 Hz</w:t>
      </w:r>
      <w:r w:rsidRPr="004220C6">
        <w:t>.</w:t>
      </w:r>
      <w:bookmarkEnd w:id="20"/>
      <w:r>
        <w:t xml:space="preserve"> The first bin (grey) was not included in the fit, since it shows higher numbers because of the double step correction, where unresolved steps get the </w:t>
      </w:r>
      <w:proofErr w:type="spellStart"/>
      <w:r>
        <w:t>interframe</w:t>
      </w:r>
      <w:proofErr w:type="spellEnd"/>
      <w:r>
        <w:t xml:space="preserve"> time of the measurement as dwell time.</w:t>
      </w:r>
    </w:p>
    <w:p w:rsidR="00601577" w:rsidRDefault="00601577" w:rsidP="00747B36">
      <w:pPr>
        <w:pStyle w:val="Caption"/>
      </w:pPr>
    </w:p>
    <w:p w:rsidR="00601577" w:rsidRDefault="00601577" w:rsidP="00747B36">
      <w:pPr>
        <w:pStyle w:val="Caption"/>
      </w:pPr>
    </w:p>
    <w:p w:rsidR="00601577" w:rsidRDefault="00601577" w:rsidP="00601577">
      <w:pPr>
        <w:keepNext/>
        <w:pageBreakBefore/>
        <w:jc w:val="center"/>
      </w:pPr>
      <w:r>
        <w:rPr>
          <w:noProof/>
          <w:lang w:eastAsia="de-DE"/>
        </w:rPr>
        <w:lastRenderedPageBreak/>
        <w:drawing>
          <wp:inline distT="0" distB="0" distL="0" distR="0" wp14:anchorId="5A5F9D55" wp14:editId="2123A125">
            <wp:extent cx="3529591" cy="1365507"/>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ZMW_schematic_image.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529591" cy="1365507"/>
                    </a:xfrm>
                    <a:prstGeom prst="rect">
                      <a:avLst/>
                    </a:prstGeom>
                  </pic:spPr>
                </pic:pic>
              </a:graphicData>
            </a:graphic>
          </wp:inline>
        </w:drawing>
      </w:r>
    </w:p>
    <w:p w:rsidR="00601577" w:rsidRPr="0054662E" w:rsidRDefault="00601577" w:rsidP="00747B36">
      <w:pPr>
        <w:pStyle w:val="Caption"/>
      </w:pPr>
      <w:bookmarkStart w:id="21" w:name="_Ref92354333"/>
      <w:r>
        <w:t>Figure S</w:t>
      </w:r>
      <w:r>
        <w:fldChar w:fldCharType="begin"/>
      </w:r>
      <w:r>
        <w:instrText xml:space="preserve"> SEQ Figure_S \* ARABIC </w:instrText>
      </w:r>
      <w:r>
        <w:fldChar w:fldCharType="separate"/>
      </w:r>
      <w:r>
        <w:rPr>
          <w:noProof/>
        </w:rPr>
        <w:t>16</w:t>
      </w:r>
      <w:r>
        <w:rPr>
          <w:noProof/>
        </w:rPr>
        <w:fldChar w:fldCharType="end"/>
      </w:r>
      <w:bookmarkEnd w:id="21"/>
      <w:r>
        <w:t xml:space="preserve">: </w:t>
      </w:r>
      <w:r w:rsidRPr="008211BB">
        <w:t>ZMWs use</w:t>
      </w:r>
      <w:r>
        <w:t>d</w:t>
      </w:r>
      <w:r w:rsidRPr="008211BB">
        <w:t xml:space="preserve"> </w:t>
      </w:r>
      <w:r>
        <w:t>for</w:t>
      </w:r>
      <w:r w:rsidRPr="008211BB">
        <w:t xml:space="preserve"> measuring protein assembly and bright field image of ZMWs. (A) Schematic of </w:t>
      </w:r>
      <w:r>
        <w:t xml:space="preserve">an aperture from </w:t>
      </w:r>
      <w:r w:rsidRPr="008211BB">
        <w:t xml:space="preserve">the </w:t>
      </w:r>
      <w:r>
        <w:t xml:space="preserve">ZMW. </w:t>
      </w:r>
      <w:r w:rsidRPr="008211BB">
        <w:t xml:space="preserve">An aluminum layer deposited on a cover glass is etched to form </w:t>
      </w:r>
      <w:r>
        <w:t xml:space="preserve">circular </w:t>
      </w:r>
      <w:r w:rsidRPr="008211BB">
        <w:t xml:space="preserve">apertures. Inside the apertures, an evanescent field is created when the structure is illuminated from below. The bottom of the ZMWs, i.e. the glass surface, is functionalized with PEG and biotinylated PEG, </w:t>
      </w:r>
      <w:r>
        <w:t>which</w:t>
      </w:r>
      <w:r w:rsidRPr="008211BB">
        <w:t xml:space="preserve"> allows binding of a biotinylated tethering protein (orange) via a biotin-streptavidin</w:t>
      </w:r>
      <w:r>
        <w:t>-biotin</w:t>
      </w:r>
      <w:r w:rsidRPr="008211BB">
        <w:t xml:space="preserve"> link</w:t>
      </w:r>
      <w:r>
        <w:t>age</w:t>
      </w:r>
      <w:r w:rsidRPr="008211BB">
        <w:t xml:space="preserve">. The aluminum surface is passivated as described in the </w:t>
      </w:r>
      <w:r>
        <w:t>m</w:t>
      </w:r>
      <w:r w:rsidRPr="008211BB">
        <w:t xml:space="preserve">aterials and </w:t>
      </w:r>
      <w:r>
        <w:t>m</w:t>
      </w:r>
      <w:r w:rsidRPr="008211BB">
        <w:t>ethods section. Fluorescently labeled monomers (yellow) bind to the tethering protein and the assembly process begins. (B)</w:t>
      </w:r>
      <w:r w:rsidRPr="008211BB">
        <w:rPr>
          <w:rFonts w:ascii="URWPalladioL-Roma" w:hAnsi="URWPalladioL-Roma" w:cs="URWPalladioL-Roma"/>
          <w:szCs w:val="22"/>
        </w:rPr>
        <w:t xml:space="preserve"> </w:t>
      </w:r>
      <w:r>
        <w:t>A b</w:t>
      </w:r>
      <w:r w:rsidRPr="008211BB">
        <w:t>right field image of a</w:t>
      </w:r>
      <w:r>
        <w:t>n array of</w:t>
      </w:r>
      <w:r w:rsidRPr="008211BB">
        <w:t xml:space="preserve"> ZMW</w:t>
      </w:r>
      <w:r>
        <w:t>s</w:t>
      </w:r>
      <w:r w:rsidRPr="008211BB">
        <w:t>.</w:t>
      </w:r>
    </w:p>
    <w:p w:rsidR="00601577" w:rsidRDefault="00601577" w:rsidP="00601577">
      <w:pPr>
        <w:keepNext/>
        <w:pageBreakBefore/>
        <w:jc w:val="center"/>
      </w:pPr>
      <w:r>
        <w:rPr>
          <w:noProof/>
          <w:lang w:eastAsia="de-DE"/>
        </w:rPr>
        <w:lastRenderedPageBreak/>
        <w:drawing>
          <wp:inline distT="0" distB="0" distL="0" distR="0" wp14:anchorId="6EE9C50E" wp14:editId="1939A845">
            <wp:extent cx="3657600" cy="2952750"/>
            <wp:effectExtent l="0" t="0" r="0" b="0"/>
            <wp:docPr id="11" name="Picture 11" descr="Setup_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tup_pape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57600" cy="2952750"/>
                    </a:xfrm>
                    <a:prstGeom prst="rect">
                      <a:avLst/>
                    </a:prstGeom>
                    <a:noFill/>
                    <a:ln>
                      <a:noFill/>
                    </a:ln>
                  </pic:spPr>
                </pic:pic>
              </a:graphicData>
            </a:graphic>
          </wp:inline>
        </w:drawing>
      </w:r>
    </w:p>
    <w:p w:rsidR="00601577" w:rsidRPr="001F6F49" w:rsidRDefault="00601577" w:rsidP="00747B36">
      <w:pPr>
        <w:pStyle w:val="Caption"/>
      </w:pPr>
      <w:bookmarkStart w:id="22" w:name="_Ref92354205"/>
      <w:r>
        <w:t>Figure S</w:t>
      </w:r>
      <w:r>
        <w:fldChar w:fldCharType="begin"/>
      </w:r>
      <w:r>
        <w:instrText xml:space="preserve"> SEQ Figure_S \* ARABIC </w:instrText>
      </w:r>
      <w:r>
        <w:fldChar w:fldCharType="separate"/>
      </w:r>
      <w:r>
        <w:rPr>
          <w:noProof/>
        </w:rPr>
        <w:t>17</w:t>
      </w:r>
      <w:r>
        <w:rPr>
          <w:noProof/>
        </w:rPr>
        <w:fldChar w:fldCharType="end"/>
      </w:r>
      <w:bookmarkEnd w:id="22"/>
      <w:r>
        <w:t xml:space="preserve">: </w:t>
      </w:r>
      <w:r w:rsidRPr="008211BB">
        <w:t xml:space="preserve">Schematic of the experimental setup. </w:t>
      </w:r>
      <w:r>
        <w:t xml:space="preserve">For excitation, a 488 nm </w:t>
      </w:r>
      <w:r w:rsidRPr="001F6F49">
        <w:t>laser (</w:t>
      </w:r>
      <w:r>
        <w:rPr>
          <w:rFonts w:ascii="Arial" w:eastAsia="Times New Roman" w:hAnsi="Arial" w:cs="Arial"/>
          <w:sz w:val="20"/>
          <w:szCs w:val="20"/>
        </w:rPr>
        <w:t xml:space="preserve">06-01-MDL, </w:t>
      </w:r>
      <w:proofErr w:type="spellStart"/>
      <w:r>
        <w:rPr>
          <w:rFonts w:ascii="Arial" w:eastAsia="Times New Roman" w:hAnsi="Arial" w:cs="Arial"/>
          <w:sz w:val="20"/>
          <w:szCs w:val="20"/>
        </w:rPr>
        <w:t>Cobolt</w:t>
      </w:r>
      <w:proofErr w:type="spellEnd"/>
      <w:r>
        <w:rPr>
          <w:rFonts w:ascii="Arial" w:eastAsia="Times New Roman" w:hAnsi="Arial" w:cs="Arial"/>
          <w:sz w:val="20"/>
          <w:szCs w:val="20"/>
        </w:rPr>
        <w:t xml:space="preserve"> AB</w:t>
      </w:r>
      <w:r w:rsidRPr="001F6F49">
        <w:t>) and a 642 nm laser (</w:t>
      </w:r>
      <w:r>
        <w:t xml:space="preserve">06-01-MDL, </w:t>
      </w:r>
      <w:proofErr w:type="spellStart"/>
      <w:r>
        <w:t>Cobolt</w:t>
      </w:r>
      <w:proofErr w:type="spellEnd"/>
      <w:r>
        <w:t xml:space="preserve"> AB) are </w:t>
      </w:r>
      <w:r w:rsidRPr="008211BB">
        <w:t xml:space="preserve">coupled into a single-mode fiber (SM450, </w:t>
      </w:r>
      <w:proofErr w:type="spellStart"/>
      <w:r w:rsidRPr="008211BB">
        <w:t>Thorlabs</w:t>
      </w:r>
      <w:proofErr w:type="spellEnd"/>
      <w:r w:rsidRPr="008211BB">
        <w:t>)</w:t>
      </w:r>
      <w:r>
        <w:t xml:space="preserve"> and </w:t>
      </w:r>
      <w:r w:rsidRPr="008211BB">
        <w:t>controlled individually via shutter</w:t>
      </w:r>
      <w:r>
        <w:t>s</w:t>
      </w:r>
      <w:r w:rsidRPr="008211BB">
        <w:t xml:space="preserve"> (SHB025T, </w:t>
      </w:r>
      <w:proofErr w:type="spellStart"/>
      <w:r w:rsidRPr="008211BB">
        <w:t>Thorlabs</w:t>
      </w:r>
      <w:proofErr w:type="spellEnd"/>
      <w:r w:rsidRPr="008211BB">
        <w:t xml:space="preserve">). After the fiber, the beam </w:t>
      </w:r>
      <w:r>
        <w:t xml:space="preserve">size </w:t>
      </w:r>
      <w:r w:rsidRPr="008211BB">
        <w:t xml:space="preserve">was expanded </w:t>
      </w:r>
      <w:r>
        <w:t xml:space="preserve">10-fold </w:t>
      </w:r>
      <w:r w:rsidRPr="008211BB">
        <w:t xml:space="preserve">by a telescope (L f10 and L f100). By fixing a mirror and a tube lens on a movable stage, the setup could be used both in TIRF mode and in wide-field mode for ZMW illumination. The light is guided into the objective (60x 1.45 NA oil immersion objective Plan Apo TIRF 60x, Nikon) via a dichroic mirror (zt405/488/561/640rpc, F73-410, AHF </w:t>
      </w:r>
      <w:proofErr w:type="spellStart"/>
      <w:r w:rsidRPr="008211BB">
        <w:t>Analysentechnik</w:t>
      </w:r>
      <w:proofErr w:type="spellEnd"/>
      <w:r w:rsidRPr="008211BB">
        <w:t xml:space="preserve">) and onto the </w:t>
      </w:r>
      <w:r>
        <w:t>ZMW</w:t>
      </w:r>
      <w:r w:rsidRPr="008211BB">
        <w:t xml:space="preserve">. The fluorescence is collected by the same objective and transferred through a 642 Notch filter (642 Notch, AHF </w:t>
      </w:r>
      <w:proofErr w:type="spellStart"/>
      <w:r w:rsidRPr="008211BB">
        <w:t>Analysentechnik</w:t>
      </w:r>
      <w:proofErr w:type="spellEnd"/>
      <w:r w:rsidRPr="008211BB">
        <w:t xml:space="preserve">) onto a dichroic mirror (FF580-FDi01, </w:t>
      </w:r>
      <w:proofErr w:type="spellStart"/>
      <w:r w:rsidRPr="008211BB">
        <w:t>Andor</w:t>
      </w:r>
      <w:proofErr w:type="spellEnd"/>
      <w:r w:rsidRPr="008211BB">
        <w:t xml:space="preserve"> Technology) to separate green and red fluorescence. The green fluorescence emission passed through two fluorescence emission filters (535/50 and 488 LP, AHF </w:t>
      </w:r>
      <w:proofErr w:type="spellStart"/>
      <w:r w:rsidRPr="008211BB">
        <w:t>Analysentechnik</w:t>
      </w:r>
      <w:proofErr w:type="spellEnd"/>
      <w:r w:rsidRPr="008211BB">
        <w:t xml:space="preserve">) because of the high reflection intensity of the laser light caused by the aluminum surface of the ZMW. The red fluorescence was passed through a 680/42 emission filter (AHF </w:t>
      </w:r>
      <w:proofErr w:type="spellStart"/>
      <w:r w:rsidRPr="008211BB">
        <w:t>Analysentechnik</w:t>
      </w:r>
      <w:proofErr w:type="spellEnd"/>
      <w:r w:rsidRPr="008211BB">
        <w:t xml:space="preserve">) and a 644 LP long pass filter (AHF </w:t>
      </w:r>
      <w:proofErr w:type="spellStart"/>
      <w:r w:rsidRPr="008211BB">
        <w:t>Analysentechnik</w:t>
      </w:r>
      <w:proofErr w:type="spellEnd"/>
      <w:r w:rsidRPr="008211BB">
        <w:t>). For the data presented here, only the blue pathway was used. The signal was recorded by two EMCCD cameras (</w:t>
      </w:r>
      <w:proofErr w:type="spellStart"/>
      <w:r w:rsidRPr="008211BB">
        <w:t>Andor</w:t>
      </w:r>
      <w:proofErr w:type="spellEnd"/>
      <w:r w:rsidRPr="008211BB">
        <w:t xml:space="preserve"> </w:t>
      </w:r>
      <w:proofErr w:type="spellStart"/>
      <w:r w:rsidRPr="008211BB">
        <w:t>iXon</w:t>
      </w:r>
      <w:proofErr w:type="spellEnd"/>
      <w:r w:rsidRPr="008211BB">
        <w:t xml:space="preserve"> Ultra 888, </w:t>
      </w:r>
      <w:proofErr w:type="spellStart"/>
      <w:r w:rsidRPr="008211BB">
        <w:t>Andor</w:t>
      </w:r>
      <w:proofErr w:type="spellEnd"/>
      <w:r w:rsidRPr="008211BB">
        <w:t xml:space="preserve"> Technology) with 1024x1024 pixels per chip. Abbreviations: M: mirror, DM: dichroic mirror, C: collimator, L: lens, F: filter, S: shutter.</w:t>
      </w:r>
    </w:p>
    <w:p w:rsidR="00601577" w:rsidRPr="00541C07" w:rsidRDefault="00601577" w:rsidP="00601577">
      <w:pPr>
        <w:rPr>
          <w:lang w:val="en-US"/>
        </w:rPr>
      </w:pPr>
    </w:p>
    <w:p w:rsidR="00601577" w:rsidRPr="00677A84" w:rsidRDefault="00601577" w:rsidP="00747B36">
      <w:pPr>
        <w:pStyle w:val="Caption"/>
      </w:pPr>
    </w:p>
    <w:p w:rsidR="00474E00" w:rsidRPr="00601577" w:rsidRDefault="00474E00">
      <w:pPr>
        <w:rPr>
          <w:lang w:val="en-US"/>
        </w:rPr>
      </w:pPr>
    </w:p>
    <w:sectPr w:rsidR="00474E00" w:rsidRPr="00601577">
      <w:footerReference w:type="default" r:id="rId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RWPalladioL-Roma">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6750473"/>
      <w:docPartObj>
        <w:docPartGallery w:val="Page Numbers (Bottom of Page)"/>
        <w:docPartUnique/>
      </w:docPartObj>
    </w:sdtPr>
    <w:sdtEndPr/>
    <w:sdtContent>
      <w:p w:rsidR="007B7A88" w:rsidRDefault="00747B36">
        <w:pPr>
          <w:pStyle w:val="Footer"/>
          <w:jc w:val="right"/>
        </w:pPr>
        <w:r>
          <w:fldChar w:fldCharType="begin"/>
        </w:r>
        <w:r>
          <w:instrText>PAGE   \* MERGEFORMAT</w:instrText>
        </w:r>
        <w:r>
          <w:fldChar w:fldCharType="separate"/>
        </w:r>
        <w:r>
          <w:rPr>
            <w:noProof/>
          </w:rPr>
          <w:t>20</w:t>
        </w:r>
        <w:r>
          <w:fldChar w:fldCharType="end"/>
        </w:r>
      </w:p>
    </w:sdtContent>
  </w:sdt>
  <w:p w:rsidR="007B7A88" w:rsidRDefault="00747B36">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577"/>
    <w:rsid w:val="00102315"/>
    <w:rsid w:val="00474E00"/>
    <w:rsid w:val="005C4C4E"/>
    <w:rsid w:val="00601577"/>
    <w:rsid w:val="00747B36"/>
    <w:rsid w:val="007C76E0"/>
    <w:rsid w:val="00827718"/>
    <w:rsid w:val="00C76227"/>
    <w:rsid w:val="00D23897"/>
    <w:rsid w:val="00F565A9"/>
    <w:rsid w:val="00FC4D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60C41"/>
  <w15:chartTrackingRefBased/>
  <w15:docId w15:val="{FB32CE2A-8FF1-4867-9164-01ADF7B4A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1577"/>
    <w:pPr>
      <w:jc w:val="both"/>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0157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1577"/>
    <w:rPr>
      <w:rFonts w:asciiTheme="majorHAnsi" w:eastAsiaTheme="majorEastAsia" w:hAnsiTheme="majorHAnsi" w:cstheme="majorBidi"/>
      <w:spacing w:val="-10"/>
      <w:kern w:val="28"/>
      <w:sz w:val="56"/>
      <w:szCs w:val="56"/>
    </w:rPr>
  </w:style>
  <w:style w:type="paragraph" w:customStyle="1" w:styleId="Paragraph">
    <w:name w:val="Paragraph"/>
    <w:basedOn w:val="Normal"/>
    <w:rsid w:val="00601577"/>
    <w:pPr>
      <w:spacing w:before="120" w:after="0" w:line="240" w:lineRule="auto"/>
      <w:ind w:firstLine="720"/>
    </w:pPr>
    <w:rPr>
      <w:rFonts w:ascii="Times New Roman" w:eastAsia="Times New Roman" w:hAnsi="Times New Roman" w:cs="Times New Roman"/>
      <w:szCs w:val="24"/>
      <w:lang w:val="en-US"/>
    </w:rPr>
  </w:style>
  <w:style w:type="paragraph" w:styleId="Footer">
    <w:name w:val="footer"/>
    <w:basedOn w:val="Normal"/>
    <w:link w:val="FooterChar"/>
    <w:uiPriority w:val="99"/>
    <w:unhideWhenUsed/>
    <w:rsid w:val="006015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577"/>
    <w:rPr>
      <w:sz w:val="24"/>
    </w:rPr>
  </w:style>
  <w:style w:type="character" w:styleId="Hyperlink">
    <w:name w:val="Hyperlink"/>
    <w:basedOn w:val="DefaultParagraphFont"/>
    <w:uiPriority w:val="99"/>
    <w:unhideWhenUsed/>
    <w:rsid w:val="00601577"/>
    <w:rPr>
      <w:color w:val="0563C1" w:themeColor="hyperlink"/>
      <w:u w:val="single"/>
    </w:rPr>
  </w:style>
  <w:style w:type="paragraph" w:styleId="Caption">
    <w:name w:val="caption"/>
    <w:basedOn w:val="Normal"/>
    <w:next w:val="Normal"/>
    <w:autoRedefine/>
    <w:uiPriority w:val="35"/>
    <w:unhideWhenUsed/>
    <w:qFormat/>
    <w:rsid w:val="00747B36"/>
    <w:pPr>
      <w:keepNext/>
      <w:spacing w:after="200" w:line="240" w:lineRule="auto"/>
    </w:pPr>
    <w:rPr>
      <w:iCs/>
      <w:szCs w:val="18"/>
      <w:lang w:val="en-US"/>
    </w:rPr>
  </w:style>
  <w:style w:type="character" w:customStyle="1" w:styleId="author-detailstext">
    <w:name w:val="author-details__text"/>
    <w:basedOn w:val="DefaultParagraphFont"/>
    <w:rsid w:val="00601577"/>
  </w:style>
  <w:style w:type="table" w:styleId="PlainTable1">
    <w:name w:val="Plain Table 1"/>
    <w:basedOn w:val="TableNormal"/>
    <w:uiPriority w:val="41"/>
    <w:rsid w:val="00601577"/>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webSettings" Target="web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ettings" Target="setting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hyperlink" Target="mailto:d.lamb@lmu.de" TargetMode="Externa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2542</Words>
  <Characters>16021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Hoyer</dc:creator>
  <cp:keywords/>
  <dc:description/>
  <cp:lastModifiedBy>Maria Hoyer</cp:lastModifiedBy>
  <cp:revision>8</cp:revision>
  <dcterms:created xsi:type="dcterms:W3CDTF">2022-01-28T14:55:00Z</dcterms:created>
  <dcterms:modified xsi:type="dcterms:W3CDTF">2022-01-28T15:11:00Z</dcterms:modified>
</cp:coreProperties>
</file>